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A82F3">
      <w:pPr>
        <w:adjustRightInd w:val="0"/>
        <w:snapToGrid w:val="0"/>
        <w:ind w:firstLine="0" w:firstLineChars="0"/>
        <w:jc w:val="center"/>
        <w:rPr>
          <w:rFonts w:eastAsia="方正小标宋_GBK" w:cs="Times New Roman"/>
          <w:color w:val="auto"/>
          <w:sz w:val="44"/>
          <w:szCs w:val="44"/>
          <w:highlight w:val="none"/>
        </w:rPr>
      </w:pPr>
      <w:bookmarkStart w:id="1" w:name="_GoBack"/>
      <w:r>
        <w:rPr>
          <w:rFonts w:eastAsia="方正小标宋_GBK" w:cs="Times New Roman"/>
          <w:color w:val="auto"/>
          <w:sz w:val="44"/>
          <w:szCs w:val="44"/>
          <w:highlight w:val="none"/>
        </w:rPr>
        <w:t>重庆市公平竞争审查条例</w:t>
      </w:r>
    </w:p>
    <w:p w14:paraId="0F7E9F3D">
      <w:pPr>
        <w:widowControl/>
        <w:snapToGrid w:val="0"/>
        <w:ind w:firstLine="0" w:firstLineChars="0"/>
        <w:jc w:val="center"/>
        <w:outlineLvl w:val="2"/>
        <w:rPr>
          <w:rFonts w:eastAsia="方正楷体_GBK" w:cs="Times New Roman"/>
          <w:color w:val="auto"/>
          <w:sz w:val="32"/>
          <w:szCs w:val="32"/>
          <w:highlight w:val="none"/>
        </w:rPr>
      </w:pPr>
      <w:r>
        <w:rPr>
          <w:rFonts w:eastAsia="方正楷体_GBK" w:cs="Times New Roman"/>
          <w:color w:val="auto"/>
          <w:sz w:val="32"/>
          <w:szCs w:val="32"/>
          <w:highlight w:val="none"/>
        </w:rPr>
        <w:t>（征求意见稿）</w:t>
      </w:r>
    </w:p>
    <w:p w14:paraId="07AF9D7D">
      <w:pPr>
        <w:ind w:firstLine="640"/>
        <w:outlineLvl w:val="0"/>
        <w:rPr>
          <w:rFonts w:eastAsia="黑体" w:cs="Times New Roman"/>
          <w:bCs/>
          <w:color w:val="auto"/>
          <w:kern w:val="0"/>
          <w:sz w:val="32"/>
          <w:szCs w:val="32"/>
          <w:highlight w:val="none"/>
        </w:rPr>
      </w:pPr>
    </w:p>
    <w:p w14:paraId="77396BF8">
      <w:pPr>
        <w:ind w:firstLine="640"/>
        <w:rPr>
          <w:rFonts w:cs="Times New Roman"/>
          <w:color w:val="auto"/>
          <w:sz w:val="32"/>
          <w:szCs w:val="32"/>
          <w:highlight w:val="none"/>
        </w:rPr>
      </w:pPr>
      <w:bookmarkStart w:id="0" w:name="tiao_19_kuan_5"/>
      <w:bookmarkEnd w:id="0"/>
      <w:r>
        <w:rPr>
          <w:rFonts w:eastAsia="方正黑体_GBK" w:cs="Times New Roman"/>
          <w:color w:val="auto"/>
          <w:sz w:val="32"/>
          <w:szCs w:val="32"/>
          <w:highlight w:val="none"/>
        </w:rPr>
        <w:t>第一条（</w:t>
      </w:r>
      <w:r>
        <w:rPr>
          <w:rFonts w:hint="eastAsia" w:eastAsia="方正黑体_GBK" w:cs="方正黑体_GBK"/>
          <w:color w:val="auto"/>
          <w:sz w:val="32"/>
          <w:szCs w:val="32"/>
          <w:highlight w:val="none"/>
          <w:shd w:val="clear" w:color="auto" w:fill="FFFFFF"/>
          <w:lang w:bidi="ar"/>
        </w:rPr>
        <w:t>立法目的和依据</w:t>
      </w:r>
      <w:r>
        <w:rPr>
          <w:rFonts w:eastAsia="方正黑体_GBK" w:cs="Times New Roman"/>
          <w:color w:val="auto"/>
          <w:sz w:val="32"/>
          <w:szCs w:val="32"/>
          <w:highlight w:val="none"/>
        </w:rPr>
        <w:t xml:space="preserve">）  </w:t>
      </w:r>
      <w:r>
        <w:rPr>
          <w:rFonts w:cs="Times New Roman"/>
          <w:color w:val="auto"/>
          <w:sz w:val="32"/>
          <w:szCs w:val="32"/>
          <w:highlight w:val="none"/>
        </w:rPr>
        <w:t>为了规范公平竞争审查工作，促进市场公平竞争，优化营商环境，推进全国统一大市场建设，根据《中华人民共和国反垄断法》《公平竞争审查条例》等相关法律、法规，结合本市实际，制定本条例。</w:t>
      </w:r>
    </w:p>
    <w:p w14:paraId="70F005B2">
      <w:pPr>
        <w:ind w:firstLine="640"/>
        <w:rPr>
          <w:rFonts w:cs="Times New Roman"/>
          <w:color w:val="auto"/>
          <w:sz w:val="32"/>
          <w:szCs w:val="32"/>
          <w:highlight w:val="none"/>
        </w:rPr>
      </w:pPr>
      <w:r>
        <w:rPr>
          <w:rFonts w:hint="eastAsia" w:eastAsia="方正黑体_GBK" w:cs="方正黑体_GBK"/>
          <w:color w:val="auto"/>
          <w:sz w:val="32"/>
          <w:szCs w:val="32"/>
          <w:highlight w:val="none"/>
          <w:shd w:val="clear" w:color="auto" w:fill="FFFFFF"/>
          <w:lang w:bidi="ar"/>
        </w:rPr>
        <w:t>第二条</w:t>
      </w:r>
      <w:r>
        <w:rPr>
          <w:rFonts w:eastAsia="方正黑体_GBK" w:cs="Times New Roman"/>
          <w:color w:val="auto"/>
          <w:sz w:val="32"/>
          <w:szCs w:val="32"/>
          <w:highlight w:val="none"/>
        </w:rPr>
        <w:t>（</w:t>
      </w:r>
      <w:r>
        <w:rPr>
          <w:rFonts w:hint="eastAsia" w:eastAsia="方正黑体_GBK" w:cs="方正黑体_GBK"/>
          <w:color w:val="auto"/>
          <w:sz w:val="32"/>
          <w:szCs w:val="32"/>
          <w:highlight w:val="none"/>
          <w:shd w:val="clear" w:color="auto" w:fill="FFFFFF"/>
          <w:lang w:bidi="ar"/>
        </w:rPr>
        <w:t>开展公平竞争审查的范围</w:t>
      </w:r>
      <w:r>
        <w:rPr>
          <w:rFonts w:eastAsia="方正黑体_GBK" w:cs="Times New Roman"/>
          <w:color w:val="auto"/>
          <w:sz w:val="32"/>
          <w:szCs w:val="32"/>
          <w:highlight w:val="none"/>
        </w:rPr>
        <w:t>）</w:t>
      </w:r>
      <w:r>
        <w:rPr>
          <w:rFonts w:cs="Times New Roman"/>
          <w:color w:val="auto"/>
          <w:sz w:val="32"/>
          <w:szCs w:val="32"/>
          <w:highlight w:val="none"/>
        </w:rPr>
        <w:t xml:space="preserve">  本市行政机关和法律、法规授权的具有管理公共事务职能的组织（以下统称起草单位）起草的涉及经营者经济活动的政策措施，应当依法开展公平竞争审查。</w:t>
      </w:r>
      <w:r>
        <w:rPr>
          <w:rFonts w:cs="方正仿宋_GBK"/>
          <w:color w:val="auto"/>
          <w:sz w:val="32"/>
          <w:szCs w:val="32"/>
          <w:highlight w:val="none"/>
          <w:shd w:val="clear" w:color="auto" w:fill="FFFFFF"/>
          <w:lang w:bidi="ar"/>
        </w:rPr>
        <w:t>政策措施未经公平竞争审查，或者经公平竞争审查认为违反本条例规定的，不得出台。</w:t>
      </w:r>
    </w:p>
    <w:p w14:paraId="43178090">
      <w:pPr>
        <w:ind w:firstLine="640"/>
        <w:rPr>
          <w:rFonts w:cs="Times New Roman"/>
          <w:color w:val="auto"/>
          <w:sz w:val="32"/>
          <w:szCs w:val="32"/>
          <w:highlight w:val="none"/>
        </w:rPr>
      </w:pPr>
      <w:r>
        <w:rPr>
          <w:rFonts w:cs="Times New Roman"/>
          <w:color w:val="auto"/>
          <w:sz w:val="32"/>
          <w:szCs w:val="32"/>
          <w:highlight w:val="none"/>
        </w:rPr>
        <w:t>前款所称涉及经营者经济活动的政策措施，包括市场准入和退出、产业</w:t>
      </w:r>
      <w:r>
        <w:rPr>
          <w:rFonts w:hint="eastAsia" w:cs="Times New Roman"/>
          <w:color w:val="auto"/>
          <w:sz w:val="32"/>
          <w:szCs w:val="32"/>
          <w:highlight w:val="none"/>
        </w:rPr>
        <w:t>和区域发展</w:t>
      </w:r>
      <w:r>
        <w:rPr>
          <w:rFonts w:cs="Times New Roman"/>
          <w:color w:val="auto"/>
          <w:sz w:val="32"/>
          <w:szCs w:val="32"/>
          <w:highlight w:val="none"/>
        </w:rPr>
        <w:t>、招商引资、政府采购、招标投标、</w:t>
      </w:r>
      <w:r>
        <w:rPr>
          <w:rFonts w:hint="eastAsia" w:cs="Times New Roman"/>
          <w:color w:val="auto"/>
          <w:sz w:val="32"/>
          <w:szCs w:val="32"/>
          <w:highlight w:val="none"/>
        </w:rPr>
        <w:t>政企合作、</w:t>
      </w:r>
      <w:r>
        <w:rPr>
          <w:rFonts w:cs="Times New Roman"/>
          <w:color w:val="auto"/>
          <w:sz w:val="32"/>
          <w:szCs w:val="32"/>
          <w:highlight w:val="none"/>
        </w:rPr>
        <w:t>资质标准、监管执法等方面涉及经营者依法平等使用生产要素、公平参与市场竞争的地方性法规、政府规章、规范性文件以及具体政策措施（以下统称政策措施）。</w:t>
      </w:r>
    </w:p>
    <w:p w14:paraId="77ABFABD">
      <w:pPr>
        <w:ind w:firstLine="640"/>
        <w:rPr>
          <w:rFonts w:cs="Times New Roman"/>
          <w:color w:val="auto"/>
          <w:sz w:val="32"/>
          <w:szCs w:val="32"/>
          <w:highlight w:val="none"/>
        </w:rPr>
      </w:pPr>
      <w:r>
        <w:rPr>
          <w:rFonts w:cs="Times New Roman"/>
          <w:color w:val="auto"/>
          <w:sz w:val="32"/>
          <w:szCs w:val="32"/>
          <w:highlight w:val="none"/>
        </w:rPr>
        <w:t>前款所称具体政策措施，是指除地方性法规、政府规章、规范性文件外其他涉及经营者经济活动的政策措施，包括政策性文件、</w:t>
      </w:r>
      <w:r>
        <w:rPr>
          <w:rFonts w:hint="eastAsia" w:cs="Times New Roman"/>
          <w:color w:val="auto"/>
          <w:sz w:val="32"/>
          <w:szCs w:val="32"/>
          <w:highlight w:val="none"/>
        </w:rPr>
        <w:t>政府采购文件、招标文件、</w:t>
      </w:r>
      <w:r>
        <w:rPr>
          <w:rFonts w:cs="Times New Roman"/>
          <w:color w:val="auto"/>
          <w:sz w:val="32"/>
          <w:szCs w:val="32"/>
          <w:highlight w:val="none"/>
        </w:rPr>
        <w:t>标准、技术规范、与经营者签订的</w:t>
      </w:r>
      <w:r>
        <w:rPr>
          <w:rFonts w:hint="eastAsia" w:cs="Times New Roman"/>
          <w:color w:val="auto"/>
          <w:sz w:val="32"/>
          <w:szCs w:val="32"/>
          <w:highlight w:val="none"/>
        </w:rPr>
        <w:t>行政</w:t>
      </w:r>
      <w:r>
        <w:rPr>
          <w:rFonts w:cs="Times New Roman"/>
          <w:color w:val="auto"/>
          <w:sz w:val="32"/>
          <w:szCs w:val="32"/>
          <w:highlight w:val="none"/>
        </w:rPr>
        <w:t>协议以及备忘录等。</w:t>
      </w:r>
    </w:p>
    <w:p w14:paraId="1BBF0A1E">
      <w:pPr>
        <w:ind w:firstLine="640"/>
        <w:rPr>
          <w:rFonts w:cs="Times New Roman"/>
          <w:color w:val="auto"/>
          <w:sz w:val="32"/>
          <w:szCs w:val="32"/>
          <w:highlight w:val="none"/>
        </w:rPr>
      </w:pPr>
      <w:r>
        <w:rPr>
          <w:rFonts w:cs="Times New Roman"/>
          <w:color w:val="auto"/>
          <w:sz w:val="32"/>
          <w:szCs w:val="32"/>
          <w:highlight w:val="none"/>
        </w:rPr>
        <w:t>起草单位委托或者指定政府招标投标代理机构、政府采购平台、政府平台企业等实施政府采购、招标投标、招商引资、财政奖补的，应当按照本条例有关规定开展公平竞争审查。</w:t>
      </w:r>
    </w:p>
    <w:p w14:paraId="0AF3D248">
      <w:pPr>
        <w:shd w:val="clear" w:color="auto" w:fill="FFFFFF"/>
        <w:ind w:firstLine="640"/>
        <w:rPr>
          <w:rFonts w:hint="eastAsia" w:ascii="方正仿宋_GBK" w:hAnsi="方正仿宋_GBK" w:cs="方正仿宋_GBK"/>
          <w:color w:val="auto"/>
          <w:sz w:val="32"/>
          <w:szCs w:val="32"/>
          <w:highlight w:val="none"/>
        </w:rPr>
      </w:pPr>
      <w:r>
        <w:rPr>
          <w:rFonts w:hint="eastAsia" w:eastAsia="方正黑体_GBK" w:cs="方正黑体_GBK"/>
          <w:color w:val="auto"/>
          <w:sz w:val="32"/>
          <w:szCs w:val="32"/>
          <w:highlight w:val="none"/>
          <w:shd w:val="clear" w:color="auto" w:fill="FFFFFF"/>
          <w:lang w:bidi="ar"/>
        </w:rPr>
        <w:t>第三条（协调机制）</w:t>
      </w:r>
      <w:r>
        <w:rPr>
          <w:rFonts w:eastAsia="方正黑体_GBK" w:cs="Times New Roman"/>
          <w:color w:val="auto"/>
          <w:sz w:val="32"/>
          <w:szCs w:val="32"/>
          <w:highlight w:val="none"/>
        </w:rPr>
        <w:t xml:space="preserve">  </w:t>
      </w:r>
      <w:r>
        <w:rPr>
          <w:rFonts w:hint="eastAsia" w:ascii="方正仿宋_GBK" w:hAnsi="方正仿宋_GBK" w:cs="方正仿宋_GBK"/>
          <w:color w:val="auto"/>
          <w:sz w:val="32"/>
          <w:szCs w:val="32"/>
          <w:highlight w:val="none"/>
        </w:rPr>
        <w:t>市、区县（自治县）人民政府建立公平竞争审查协调机制，统筹协调和监督指导本行政区域内公平竞争审查工作，研究解决公平竞争审查工作中的重大问题，评估本行政区域内公平竞争审查工作情况，总结公平竞争审查制度实施成效，推广先进做法和经验。</w:t>
      </w:r>
    </w:p>
    <w:p w14:paraId="46D6BC2B">
      <w:pPr>
        <w:shd w:val="clear" w:color="auto" w:fill="FFFFFF"/>
        <w:ind w:firstLine="640"/>
        <w:rPr>
          <w:rFonts w:hint="eastAsia" w:ascii="方正仿宋_GBK" w:hAnsi="方正仿宋_GBK" w:cs="方正仿宋_GBK"/>
          <w:color w:val="auto"/>
          <w:sz w:val="32"/>
          <w:szCs w:val="32"/>
          <w:highlight w:val="none"/>
        </w:rPr>
      </w:pPr>
      <w:r>
        <w:rPr>
          <w:rFonts w:hint="eastAsia" w:ascii="方正仿宋_GBK" w:hAnsi="方正仿宋_GBK" w:cs="方正仿宋_GBK"/>
          <w:color w:val="auto"/>
          <w:sz w:val="32"/>
          <w:szCs w:val="32"/>
          <w:highlight w:val="none"/>
        </w:rPr>
        <w:t>公平竞争审查协调机制办公室设在市场监督管理部门，承担公平竞争审查协调机制日常工作。</w:t>
      </w:r>
    </w:p>
    <w:p w14:paraId="36FD9750">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第四条（市场监督管理部门职责）  </w:t>
      </w:r>
      <w:r>
        <w:rPr>
          <w:rFonts w:hint="eastAsia" w:cs="方正仿宋_GBK"/>
          <w:color w:val="auto"/>
          <w:sz w:val="32"/>
          <w:szCs w:val="32"/>
          <w:highlight w:val="none"/>
          <w:shd w:val="clear" w:color="auto" w:fill="FFFFFF"/>
          <w:lang w:bidi="ar"/>
        </w:rPr>
        <w:t>市、区县（自治县）市场监督管理部门负责在本行政区域内组织实施公平竞争审查制度，依法履行下列职责：</w:t>
      </w:r>
    </w:p>
    <w:p w14:paraId="39A29BCC">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（一）指导和督促有关单位开展公平竞争审查工作；</w:t>
      </w:r>
    </w:p>
    <w:p w14:paraId="2E3FC2B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（二）会同起草单位开展公平竞争审查；</w:t>
      </w:r>
    </w:p>
    <w:p w14:paraId="5F1EC07F">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（三）建立健全公平竞争审查举报、抽查、清理等机制以及提醒敦促、约谈等制度，组织开展相关工作；</w:t>
      </w:r>
    </w:p>
    <w:p w14:paraId="39CBC14C">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（四）组织开展公平竞争审查业务培训指导和普法宣传；</w:t>
      </w:r>
    </w:p>
    <w:p w14:paraId="58C34F6F">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（五）在</w:t>
      </w:r>
      <w:r>
        <w:rPr>
          <w:rFonts w:hint="eastAsia" w:ascii="方正仿宋_GBK" w:hAnsi="方正仿宋_GBK" w:cs="方正仿宋_GBK"/>
          <w:color w:val="auto"/>
          <w:sz w:val="32"/>
          <w:szCs w:val="32"/>
          <w:highlight w:val="none"/>
          <w:shd w:val="clear" w:color="auto" w:fill="FFFFFF"/>
          <w:lang w:bidi="ar"/>
        </w:rPr>
        <w:t>政府部门年度考核、</w:t>
      </w:r>
      <w:r>
        <w:rPr>
          <w:rFonts w:hint="eastAsia" w:cs="方正仿宋_GBK"/>
          <w:color w:val="auto"/>
          <w:sz w:val="32"/>
          <w:szCs w:val="32"/>
          <w:highlight w:val="none"/>
          <w:shd w:val="clear" w:color="auto" w:fill="FFFFFF"/>
          <w:lang w:bidi="ar"/>
        </w:rPr>
        <w:t>法治政府建设、优化营商环境等考核评价过程中，配合做好涉及公平竞争审查工作情况的考核评价；</w:t>
      </w:r>
    </w:p>
    <w:p w14:paraId="57CB3275">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（六）接受上级市场监督管理部门对公平竞争审查工作的指导和监督；</w:t>
      </w:r>
    </w:p>
    <w:p w14:paraId="295BAA3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（七）完成本级人民政府交办的其他涉及公平竞争审查的事项。</w:t>
      </w:r>
    </w:p>
    <w:p w14:paraId="3C9ECA0A">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第五条（起草单位职责）  </w:t>
      </w:r>
      <w:r>
        <w:rPr>
          <w:rFonts w:hint="eastAsia" w:cs="方正仿宋_GBK"/>
          <w:color w:val="auto"/>
          <w:sz w:val="32"/>
          <w:szCs w:val="32"/>
          <w:highlight w:val="none"/>
          <w:shd w:val="clear" w:color="auto" w:fill="FFFFFF"/>
          <w:lang w:bidi="ar"/>
        </w:rPr>
        <w:t>起草单位应当严格落实公平竞争审查责任，依法履行下列职责：</w:t>
      </w:r>
    </w:p>
    <w:p w14:paraId="32B9C058">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（一）建立健全内部公平竞争审查机制，明确本单位负责公平竞争审查工作的机构；</w:t>
      </w:r>
    </w:p>
    <w:p w14:paraId="1B14BA3A">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（二）对本单位起草的政策措施开展公平竞争审查（以下统称自我审查）；</w:t>
      </w:r>
    </w:p>
    <w:p w14:paraId="0538F6C6">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（三）提请市场监督管理部门会同开展公平竞争审查；</w:t>
      </w:r>
    </w:p>
    <w:p w14:paraId="755FCA24">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（四）完成涉及公平竞争审查的其他相关工作。</w:t>
      </w:r>
    </w:p>
    <w:p w14:paraId="76DABA77">
      <w:pPr>
        <w:shd w:val="clear" w:color="auto" w:fill="FFFFFF"/>
        <w:ind w:firstLine="640"/>
        <w:rPr>
          <w:rFonts w:hint="eastAsia" w:ascii="方正仿宋_GBK" w:hAnsi="方正仿宋_GBK"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第六条（公平竞争审查与其他审查衔接）</w:t>
      </w:r>
      <w:r>
        <w:rPr>
          <w:rFonts w:hint="eastAsia" w:ascii="方正仿宋_GBK" w:hAnsi="方正仿宋_GBK" w:cs="方正仿宋_GBK"/>
          <w:color w:val="auto"/>
          <w:sz w:val="32"/>
          <w:szCs w:val="32"/>
          <w:highlight w:val="none"/>
          <w:shd w:val="clear" w:color="auto" w:fill="FFFFFF"/>
          <w:lang w:bidi="ar"/>
        </w:rPr>
        <w:t xml:space="preserve"> 本市建立公平竞争审查与合法性审查、备案审查工作衔接机制。</w:t>
      </w:r>
    </w:p>
    <w:p w14:paraId="40305CF1">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司法行政部门对政策措施进行合法性审查时，发现违反本条例规定的，应当会同市场监督管理部门开展会商，共同督促起草单位修改完善。</w:t>
      </w:r>
    </w:p>
    <w:p w14:paraId="1A6A712E">
      <w:pPr>
        <w:shd w:val="clear" w:color="auto" w:fill="FFFFFF"/>
        <w:ind w:firstLine="640"/>
        <w:rPr>
          <w:rFonts w:hint="eastAsia" w:ascii="方正仿宋_GBK" w:hAnsi="方正仿宋_GBK"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市、区县（自治县）人民代表大会常务委员会在备案审查工作中，发现报备文件违反本条例规定的，应当依法启动督促纠错程序或者纠正、撤销程序。</w:t>
      </w:r>
    </w:p>
    <w:p w14:paraId="0084AD35">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第七条（区域协作）  </w:t>
      </w:r>
      <w:r>
        <w:rPr>
          <w:rFonts w:hint="eastAsia" w:cs="方正仿宋_GBK"/>
          <w:color w:val="auto"/>
          <w:sz w:val="32"/>
          <w:szCs w:val="32"/>
          <w:highlight w:val="none"/>
          <w:shd w:val="clear" w:color="auto" w:fill="FFFFFF"/>
          <w:lang w:bidi="ar"/>
        </w:rPr>
        <w:t>本市加强与其他省、自治区、直辖市开展公平竞争审查工作的交流合作，鼓励有条件的区县（自治县）探索建立跨区域、跨部门的公平竞争审查工作机制。</w:t>
      </w:r>
    </w:p>
    <w:p w14:paraId="7CF58645">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本市建立健全成渝地区双城经济圈公平竞争审查区域一体化协作机制，加强公平竞争审查重大政策协同、工作联动、案例交流等多层次、多形式的公平竞争审查协作。</w:t>
      </w:r>
    </w:p>
    <w:p w14:paraId="722CF1DC">
      <w:pPr>
        <w:keepNext/>
        <w:keepLines/>
        <w:ind w:firstLine="640"/>
        <w:jc w:val="left"/>
        <w:outlineLvl w:val="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第八条（竞争政策与产业政策协调）  </w:t>
      </w:r>
      <w:r>
        <w:rPr>
          <w:rFonts w:hint="eastAsia" w:cs="方正仿宋_GBK"/>
          <w:color w:val="auto"/>
          <w:sz w:val="32"/>
          <w:szCs w:val="32"/>
          <w:highlight w:val="none"/>
          <w:shd w:val="clear" w:color="auto" w:fill="FFFFFF"/>
          <w:lang w:bidi="ar"/>
        </w:rPr>
        <w:t>本市建立健全公平竞争政策与产业政策协调保障机制。起草单位制定和调整产业政策应当依法开展公平竞争审查，适时与相关经营主体、行业协会商会、专家、社会公众等进行协商，评估产业政策实施的公平竞争影响。起草单位应当将协商结果和评估结论作为制定和调整产业政策的依据，防止产业政策排除、限制竞争。</w:t>
      </w:r>
    </w:p>
    <w:p w14:paraId="414786C6">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第九条（数字化建设）  </w:t>
      </w:r>
      <w:r>
        <w:rPr>
          <w:rFonts w:hint="eastAsia" w:cs="方正仿宋_GBK"/>
          <w:color w:val="auto"/>
          <w:sz w:val="32"/>
          <w:szCs w:val="32"/>
          <w:highlight w:val="none"/>
          <w:shd w:val="clear" w:color="auto" w:fill="FFFFFF"/>
          <w:lang w:bidi="ar"/>
        </w:rPr>
        <w:t>本市加强公平竞争审查数字化建设，建立健全公平竞争审查数字化应用。起草单位应当依托公平竞争审查数字化应用开展公平竞争审查相关工作。</w:t>
      </w:r>
    </w:p>
    <w:p w14:paraId="700A2B86">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第十条（一般审查标准）  </w:t>
      </w:r>
      <w:r>
        <w:rPr>
          <w:rFonts w:cs="方正仿宋_GBK"/>
          <w:color w:val="auto"/>
          <w:sz w:val="32"/>
          <w:szCs w:val="32"/>
          <w:highlight w:val="none"/>
          <w:shd w:val="clear" w:color="auto" w:fill="FFFFFF"/>
          <w:lang w:bidi="ar"/>
        </w:rPr>
        <w:t>起草单位起草的政策措施，不得含有下列内容：</w:t>
      </w:r>
    </w:p>
    <w:p w14:paraId="5134AC77">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（一）限制或者变相限制市场准入和退出；</w:t>
      </w:r>
    </w:p>
    <w:p w14:paraId="6CC92393">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（二）限制商品、要素自由流动；</w:t>
      </w:r>
    </w:p>
    <w:p w14:paraId="7B66B024">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（三）没有法律、行政法规依据或者未经国务院批准，含有影响生产经营成本的内容；</w:t>
      </w:r>
    </w:p>
    <w:p w14:paraId="2D804B17">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（四）影响生产经营行为；</w:t>
      </w:r>
    </w:p>
    <w:p w14:paraId="2DCD8E7E">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（五）其他限制或变相限制市场准入和退出、限制商品要素自由流动、影响生产经营成本、影响生产经营行为等影响市场公平竞争的内容。</w:t>
      </w:r>
    </w:p>
    <w:p w14:paraId="41E04925">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第十一条（例外规定）  </w:t>
      </w:r>
      <w:r>
        <w:rPr>
          <w:rFonts w:cs="方正仿宋_GBK"/>
          <w:color w:val="auto"/>
          <w:sz w:val="32"/>
          <w:szCs w:val="32"/>
          <w:highlight w:val="none"/>
          <w:shd w:val="clear" w:color="auto" w:fill="FFFFFF"/>
          <w:lang w:bidi="ar"/>
        </w:rPr>
        <w:t>起草单位起草的政策措施，具有或者可能具有排除、限制竞争效果，但符合下列情形之一，且没有对公平竞争影响更小的替代方案，并能够确定合理的实施期限或者终止条件的，可以出台：</w:t>
      </w:r>
    </w:p>
    <w:p w14:paraId="5462F452">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（一）为维护国家安全和发展利益的；</w:t>
      </w:r>
    </w:p>
    <w:p w14:paraId="7343CC7F">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（二）为促进科学技术进步、增强国家自主创新能力的；</w:t>
      </w:r>
    </w:p>
    <w:p w14:paraId="0B0914C2">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（三）为实现节约能源、保护环境、救灾救助等社会公共利益的；</w:t>
      </w:r>
    </w:p>
    <w:p w14:paraId="766E0A40">
      <w:pPr>
        <w:ind w:firstLine="640"/>
        <w:rPr>
          <w:rFonts w:cs="方正仿宋_GBK"/>
          <w:color w:val="auto"/>
          <w:sz w:val="32"/>
          <w:szCs w:val="32"/>
          <w:highlight w:val="none"/>
          <w:shd w:val="clear" w:color="auto" w:fill="FFFFFF"/>
          <w:lang w:bidi="ar"/>
        </w:rPr>
      </w:pPr>
      <w:r>
        <w:rPr>
          <w:rFonts w:cs="方正仿宋_GBK"/>
          <w:color w:val="auto"/>
          <w:sz w:val="32"/>
          <w:szCs w:val="32"/>
          <w:highlight w:val="none"/>
          <w:shd w:val="clear" w:color="auto" w:fill="FFFFFF"/>
          <w:lang w:bidi="ar"/>
        </w:rPr>
        <w:t>（四）法律、行政法规规定或者经国务院批准的其他情形。</w:t>
      </w:r>
    </w:p>
    <w:p w14:paraId="768C26CB">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起草单位</w:t>
      </w:r>
      <w:r>
        <w:rPr>
          <w:rFonts w:cs="方正仿宋_GBK"/>
          <w:color w:val="auto"/>
          <w:sz w:val="32"/>
          <w:szCs w:val="32"/>
          <w:highlight w:val="none"/>
          <w:shd w:val="clear" w:color="auto" w:fill="FFFFFF"/>
          <w:lang w:bidi="ar"/>
        </w:rPr>
        <w:t>应当</w:t>
      </w:r>
      <w:r>
        <w:rPr>
          <w:rFonts w:hint="eastAsia" w:cs="方正仿宋_GBK"/>
          <w:color w:val="auto"/>
          <w:sz w:val="32"/>
          <w:szCs w:val="32"/>
          <w:highlight w:val="none"/>
          <w:shd w:val="clear" w:color="auto" w:fill="FFFFFF"/>
          <w:lang w:bidi="ar"/>
        </w:rPr>
        <w:t>定期</w:t>
      </w:r>
      <w:r>
        <w:rPr>
          <w:rFonts w:cs="方正仿宋_GBK"/>
          <w:color w:val="auto"/>
          <w:sz w:val="32"/>
          <w:szCs w:val="32"/>
          <w:highlight w:val="none"/>
          <w:shd w:val="clear" w:color="auto" w:fill="FFFFFF"/>
          <w:lang w:bidi="ar"/>
        </w:rPr>
        <w:t>评估适用例外规定的政策措施的实施效果，实施期限到期或者未达到预期效果的政策措施，应当及时停止执行或者进行调整。</w:t>
      </w:r>
    </w:p>
    <w:p w14:paraId="79B92929">
      <w:pPr>
        <w:ind w:firstLine="640"/>
        <w:rPr>
          <w:color w:val="auto"/>
          <w:highlight w:val="none"/>
        </w:rPr>
      </w:pPr>
      <w:r>
        <w:rPr>
          <w:rFonts w:hint="eastAsia" w:eastAsia="方正黑体_GBK" w:cs="方正黑体_GBK"/>
          <w:color w:val="auto"/>
          <w:sz w:val="32"/>
          <w:szCs w:val="32"/>
          <w:highlight w:val="none"/>
          <w:shd w:val="clear" w:color="auto" w:fill="FFFFFF"/>
          <w:lang w:bidi="ar"/>
        </w:rPr>
        <w:t>第十二条（加强重点领域审查）</w:t>
      </w:r>
      <w:r>
        <w:rPr>
          <w:rFonts w:hint="eastAsia" w:cs="方正仿宋_GBK"/>
          <w:color w:val="auto"/>
          <w:sz w:val="32"/>
          <w:szCs w:val="32"/>
          <w:highlight w:val="none"/>
          <w:shd w:val="clear" w:color="auto" w:fill="FFFFFF"/>
          <w:lang w:bidi="ar"/>
        </w:rPr>
        <w:t xml:space="preserve">  加大对社会关注度高、多发易发公平竞争审查问题的重点领域政策措施的审查力度，对财政奖补、招商引资、政企合作、招标采购等重点领域，市级人民政府有关部门可以制定公平竞争审查工作指引，明确审查标准和程序。</w:t>
      </w:r>
    </w:p>
    <w:p w14:paraId="4F6D0DFE">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第十三条（财政奖补领域重点审查内容）  </w:t>
      </w:r>
      <w:r>
        <w:rPr>
          <w:rFonts w:hint="eastAsia" w:cs="方正仿宋_GBK"/>
          <w:color w:val="auto"/>
          <w:sz w:val="32"/>
          <w:szCs w:val="32"/>
          <w:highlight w:val="none"/>
          <w:shd w:val="clear" w:color="auto" w:fill="FFFFFF"/>
          <w:lang w:bidi="ar"/>
        </w:rPr>
        <w:t>起草涉及财政奖补的政策措施，应当重点审查下列内容：</w:t>
      </w:r>
    </w:p>
    <w:p w14:paraId="25BEAC1B">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（一）直接确定受益经营者或者通</w:t>
      </w:r>
      <w:r>
        <w:rPr>
          <w:rFonts w:cs="方正仿宋_GBK"/>
          <w:color w:val="auto"/>
          <w:sz w:val="32"/>
          <w:szCs w:val="32"/>
          <w:highlight w:val="none"/>
          <w:shd w:val="clear" w:color="auto" w:fill="FFFFFF"/>
          <w:lang w:bidi="ar"/>
        </w:rPr>
        <w:t>过不客观、不明确的条件给予特定经营者财政奖励或者补贴</w:t>
      </w:r>
      <w:r>
        <w:rPr>
          <w:rFonts w:hint="eastAsia" w:cs="方正仿宋_GBK"/>
          <w:color w:val="auto"/>
          <w:sz w:val="32"/>
          <w:szCs w:val="32"/>
          <w:highlight w:val="none"/>
          <w:shd w:val="clear" w:color="auto" w:fill="FFFFFF"/>
          <w:lang w:bidi="ar"/>
        </w:rPr>
        <w:t>；</w:t>
      </w:r>
    </w:p>
    <w:p w14:paraId="1EDD51B1">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（二）根据</w:t>
      </w:r>
      <w:r>
        <w:rPr>
          <w:rFonts w:cs="方正仿宋_GBK"/>
          <w:color w:val="auto"/>
          <w:sz w:val="32"/>
          <w:szCs w:val="32"/>
          <w:highlight w:val="none"/>
          <w:shd w:val="clear" w:color="auto" w:fill="FFFFFF"/>
          <w:lang w:bidi="ar"/>
        </w:rPr>
        <w:t>经营者所有制、</w:t>
      </w:r>
      <w:r>
        <w:rPr>
          <w:rFonts w:hint="eastAsia" w:cs="方正仿宋_GBK"/>
          <w:color w:val="auto"/>
          <w:sz w:val="32"/>
          <w:szCs w:val="32"/>
          <w:highlight w:val="none"/>
          <w:shd w:val="clear" w:color="auto" w:fill="FFFFFF"/>
          <w:lang w:bidi="ar"/>
        </w:rPr>
        <w:t>组织形式、</w:t>
      </w:r>
      <w:r>
        <w:rPr>
          <w:rFonts w:cs="方正仿宋_GBK"/>
          <w:color w:val="auto"/>
          <w:sz w:val="32"/>
          <w:szCs w:val="32"/>
          <w:highlight w:val="none"/>
          <w:shd w:val="clear" w:color="auto" w:fill="FFFFFF"/>
          <w:lang w:bidi="ar"/>
        </w:rPr>
        <w:t>规模、业绩</w:t>
      </w:r>
      <w:r>
        <w:rPr>
          <w:rFonts w:hint="eastAsia" w:cs="方正仿宋_GBK"/>
          <w:color w:val="auto"/>
          <w:sz w:val="32"/>
          <w:szCs w:val="32"/>
          <w:highlight w:val="none"/>
          <w:shd w:val="clear" w:color="auto" w:fill="FFFFFF"/>
          <w:lang w:bidi="ar"/>
        </w:rPr>
        <w:t>、注册地、纳税地、税收缴纳情况等</w:t>
      </w:r>
      <w:r>
        <w:rPr>
          <w:rFonts w:cs="方正仿宋_GBK"/>
          <w:color w:val="auto"/>
          <w:sz w:val="32"/>
          <w:szCs w:val="32"/>
          <w:highlight w:val="none"/>
          <w:shd w:val="clear" w:color="auto" w:fill="FFFFFF"/>
          <w:lang w:bidi="ar"/>
        </w:rPr>
        <w:t>设置不公平、不合理的条件</w:t>
      </w:r>
      <w:r>
        <w:rPr>
          <w:rFonts w:hint="eastAsia" w:cs="方正仿宋_GBK"/>
          <w:color w:val="auto"/>
          <w:sz w:val="32"/>
          <w:szCs w:val="32"/>
          <w:highlight w:val="none"/>
          <w:shd w:val="clear" w:color="auto" w:fill="FFFFFF"/>
          <w:lang w:bidi="ar"/>
        </w:rPr>
        <w:t>，</w:t>
      </w:r>
      <w:r>
        <w:rPr>
          <w:rFonts w:cs="方正仿宋_GBK"/>
          <w:color w:val="auto"/>
          <w:sz w:val="32"/>
          <w:szCs w:val="32"/>
          <w:highlight w:val="none"/>
          <w:shd w:val="clear" w:color="auto" w:fill="FFFFFF"/>
          <w:lang w:bidi="ar"/>
        </w:rPr>
        <w:t>给予特定经营者财政奖励或者补贴</w:t>
      </w:r>
      <w:r>
        <w:rPr>
          <w:rFonts w:hint="eastAsia" w:cs="方正仿宋_GBK"/>
          <w:color w:val="auto"/>
          <w:sz w:val="32"/>
          <w:szCs w:val="32"/>
          <w:highlight w:val="none"/>
          <w:shd w:val="clear" w:color="auto" w:fill="FFFFFF"/>
          <w:lang w:bidi="ar"/>
        </w:rPr>
        <w:t>；</w:t>
      </w:r>
    </w:p>
    <w:p w14:paraId="2B93AA86">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w:t>
      </w:r>
      <w:r>
        <w:rPr>
          <w:rFonts w:cs="方正仿宋_GBK"/>
          <w:color w:val="auto"/>
          <w:sz w:val="32"/>
          <w:szCs w:val="32"/>
          <w:highlight w:val="none"/>
          <w:shd w:val="clear" w:color="auto" w:fill="FFFFFF"/>
          <w:lang w:bidi="ar"/>
        </w:rPr>
        <w:t>以股票公开发行上市</w:t>
      </w:r>
      <w:r>
        <w:rPr>
          <w:rFonts w:hint="eastAsia" w:cs="方正仿宋_GBK"/>
          <w:color w:val="auto"/>
          <w:sz w:val="32"/>
          <w:szCs w:val="32"/>
          <w:highlight w:val="none"/>
          <w:shd w:val="clear" w:color="auto" w:fill="FFFFFF"/>
          <w:lang w:bidi="ar"/>
        </w:rPr>
        <w:t>等资本市场融资结果为条件，</w:t>
      </w:r>
      <w:r>
        <w:rPr>
          <w:rFonts w:cs="方正仿宋_GBK"/>
          <w:color w:val="auto"/>
          <w:sz w:val="32"/>
          <w:szCs w:val="32"/>
          <w:highlight w:val="none"/>
          <w:shd w:val="clear" w:color="auto" w:fill="FFFFFF"/>
          <w:lang w:bidi="ar"/>
        </w:rPr>
        <w:t>给予发行人或者中介机构奖励</w:t>
      </w:r>
      <w:r>
        <w:rPr>
          <w:rFonts w:hint="eastAsia" w:cs="方正仿宋_GBK"/>
          <w:color w:val="auto"/>
          <w:sz w:val="32"/>
          <w:szCs w:val="32"/>
          <w:highlight w:val="none"/>
          <w:shd w:val="clear" w:color="auto" w:fill="FFFFFF"/>
          <w:lang w:bidi="ar"/>
        </w:rPr>
        <w:t>；</w:t>
      </w:r>
    </w:p>
    <w:p w14:paraId="5B01AB7F">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（四）法律法规禁止的其他内容。</w:t>
      </w:r>
    </w:p>
    <w:p w14:paraId="6A1D18A7">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第十四条（招商引资领域重点审查内容）  </w:t>
      </w:r>
      <w:r>
        <w:rPr>
          <w:rFonts w:hint="eastAsia" w:cs="方正仿宋_GBK"/>
          <w:color w:val="auto"/>
          <w:sz w:val="32"/>
          <w:szCs w:val="32"/>
          <w:highlight w:val="none"/>
          <w:shd w:val="clear" w:color="auto" w:fill="FFFFFF"/>
          <w:lang w:bidi="ar"/>
        </w:rPr>
        <w:t>起草涉及招商引资的政策措施，应当重点审查下列内容：</w:t>
      </w:r>
    </w:p>
    <w:p w14:paraId="79479F9F">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（一）强制经营者迁入或者阻碍经营者迁出；</w:t>
      </w:r>
    </w:p>
    <w:p w14:paraId="4BC3989D">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（二）以在本地投资经营或者设立分支机构、纳入本地统计等为条件给予优惠政策；</w:t>
      </w:r>
    </w:p>
    <w:p w14:paraId="29C290A2">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（三）违法违规给予特定经营者税收返还、财政奖补、要素获取、</w:t>
      </w:r>
      <w:r>
        <w:rPr>
          <w:rFonts w:cs="方正仿宋_GBK"/>
          <w:color w:val="auto"/>
          <w:sz w:val="32"/>
          <w:szCs w:val="32"/>
          <w:highlight w:val="none"/>
          <w:shd w:val="clear" w:color="auto" w:fill="FFFFFF"/>
          <w:lang w:bidi="ar"/>
        </w:rPr>
        <w:t>行政事业性收费、政府性基金、社会保险费</w:t>
      </w:r>
      <w:r>
        <w:rPr>
          <w:rFonts w:hint="eastAsia" w:cs="方正仿宋_GBK"/>
          <w:color w:val="auto"/>
          <w:sz w:val="32"/>
          <w:szCs w:val="32"/>
          <w:highlight w:val="none"/>
          <w:shd w:val="clear" w:color="auto" w:fill="FFFFFF"/>
          <w:lang w:bidi="ar"/>
        </w:rPr>
        <w:t>等优惠政策；</w:t>
      </w:r>
    </w:p>
    <w:p w14:paraId="28336946">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w:t>
      </w:r>
      <w:r>
        <w:rPr>
          <w:rFonts w:cs="方正仿宋_GBK"/>
          <w:color w:val="auto"/>
          <w:sz w:val="32"/>
          <w:szCs w:val="32"/>
          <w:highlight w:val="none"/>
          <w:shd w:val="clear" w:color="auto" w:fill="FFFFFF"/>
          <w:lang w:bidi="ar"/>
        </w:rPr>
        <w:t>法律法规禁止的其他</w:t>
      </w:r>
      <w:r>
        <w:rPr>
          <w:rFonts w:hint="eastAsia" w:cs="方正仿宋_GBK"/>
          <w:color w:val="auto"/>
          <w:sz w:val="32"/>
          <w:szCs w:val="32"/>
          <w:highlight w:val="none"/>
          <w:shd w:val="clear" w:color="auto" w:fill="FFFFFF"/>
          <w:lang w:bidi="ar"/>
        </w:rPr>
        <w:t>内容。</w:t>
      </w:r>
    </w:p>
    <w:p w14:paraId="575A74C6">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第十五条（政企合作领域重点审查内容）  </w:t>
      </w:r>
      <w:r>
        <w:rPr>
          <w:rFonts w:hint="eastAsia" w:cs="方正仿宋_GBK"/>
          <w:color w:val="auto"/>
          <w:sz w:val="32"/>
          <w:szCs w:val="32"/>
          <w:highlight w:val="none"/>
          <w:shd w:val="clear" w:color="auto" w:fill="FFFFFF"/>
          <w:lang w:bidi="ar"/>
        </w:rPr>
        <w:t>起草涉及政企合作的政策措施，</w:t>
      </w:r>
      <w:r>
        <w:rPr>
          <w:rFonts w:cs="方正仿宋_GBK"/>
          <w:color w:val="auto"/>
          <w:sz w:val="32"/>
          <w:szCs w:val="32"/>
          <w:highlight w:val="none"/>
          <w:shd w:val="clear" w:color="auto" w:fill="FFFFFF"/>
          <w:lang w:bidi="ar"/>
        </w:rPr>
        <w:t>应当重点审查下列内容</w:t>
      </w:r>
      <w:r>
        <w:rPr>
          <w:rFonts w:hint="eastAsia" w:cs="方正仿宋_GBK"/>
          <w:color w:val="auto"/>
          <w:sz w:val="32"/>
          <w:szCs w:val="32"/>
          <w:highlight w:val="none"/>
          <w:shd w:val="clear" w:color="auto" w:fill="FFFFFF"/>
          <w:lang w:bidi="ar"/>
        </w:rPr>
        <w:t>：</w:t>
      </w:r>
    </w:p>
    <w:p w14:paraId="443EC1AC">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（一）在全国统一的市场准入负面清单之外根据所有制形式设置歧视性的准入条件；</w:t>
      </w:r>
    </w:p>
    <w:p w14:paraId="3698B2FC">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（二）设置</w:t>
      </w:r>
      <w:r>
        <w:rPr>
          <w:rFonts w:cs="方正仿宋_GBK"/>
          <w:color w:val="auto"/>
          <w:sz w:val="32"/>
          <w:szCs w:val="32"/>
          <w:highlight w:val="none"/>
          <w:shd w:val="clear" w:color="auto" w:fill="FFFFFF"/>
          <w:lang w:bidi="ar"/>
        </w:rPr>
        <w:t>明显不必要</w:t>
      </w:r>
      <w:r>
        <w:rPr>
          <w:rFonts w:hint="eastAsia" w:cs="方正仿宋_GBK"/>
          <w:color w:val="auto"/>
          <w:sz w:val="32"/>
          <w:szCs w:val="32"/>
          <w:highlight w:val="none"/>
          <w:shd w:val="clear" w:color="auto" w:fill="FFFFFF"/>
          <w:lang w:bidi="ar"/>
        </w:rPr>
        <w:t>或者超出合作实际需要的不合理准入条件；</w:t>
      </w:r>
    </w:p>
    <w:p w14:paraId="1B173CAC">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w:t>
      </w:r>
      <w:r>
        <w:rPr>
          <w:rFonts w:cs="方正仿宋_GBK"/>
          <w:color w:val="auto"/>
          <w:sz w:val="32"/>
          <w:szCs w:val="32"/>
          <w:highlight w:val="none"/>
          <w:shd w:val="clear" w:color="auto" w:fill="FFFFFF"/>
          <w:lang w:bidi="ar"/>
        </w:rPr>
        <w:t>限定或者变相限定经营、购买、使用合作对象及其关联企业提供的商品或者服务</w:t>
      </w:r>
      <w:r>
        <w:rPr>
          <w:rFonts w:hint="eastAsia" w:cs="方正仿宋_GBK"/>
          <w:color w:val="auto"/>
          <w:sz w:val="32"/>
          <w:szCs w:val="32"/>
          <w:highlight w:val="none"/>
          <w:shd w:val="clear" w:color="auto" w:fill="FFFFFF"/>
          <w:lang w:bidi="ar"/>
        </w:rPr>
        <w:t>；</w:t>
      </w:r>
    </w:p>
    <w:p w14:paraId="657F6521">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（四）违法违规设置特许经营权，或者</w:t>
      </w:r>
      <w:r>
        <w:rPr>
          <w:rFonts w:cs="方正仿宋_GBK"/>
          <w:color w:val="auto"/>
          <w:sz w:val="32"/>
          <w:szCs w:val="32"/>
          <w:highlight w:val="none"/>
          <w:shd w:val="clear" w:color="auto" w:fill="FFFFFF"/>
          <w:lang w:bidi="ar"/>
        </w:rPr>
        <w:t>未通过招标、谈判等公平竞争方式</w:t>
      </w:r>
      <w:r>
        <w:rPr>
          <w:rFonts w:hint="eastAsia" w:cs="方正仿宋_GBK"/>
          <w:color w:val="auto"/>
          <w:sz w:val="32"/>
          <w:szCs w:val="32"/>
          <w:highlight w:val="none"/>
          <w:shd w:val="clear" w:color="auto" w:fill="FFFFFF"/>
          <w:lang w:bidi="ar"/>
        </w:rPr>
        <w:t>授予合作对象</w:t>
      </w:r>
      <w:r>
        <w:rPr>
          <w:rFonts w:cs="方正仿宋_GBK"/>
          <w:color w:val="auto"/>
          <w:sz w:val="32"/>
          <w:szCs w:val="32"/>
          <w:highlight w:val="none"/>
          <w:shd w:val="clear" w:color="auto" w:fill="FFFFFF"/>
          <w:lang w:bidi="ar"/>
        </w:rPr>
        <w:t>特许经营</w:t>
      </w:r>
      <w:r>
        <w:rPr>
          <w:rFonts w:hint="eastAsia" w:cs="方正仿宋_GBK"/>
          <w:color w:val="auto"/>
          <w:sz w:val="32"/>
          <w:szCs w:val="32"/>
          <w:highlight w:val="none"/>
          <w:shd w:val="clear" w:color="auto" w:fill="FFFFFF"/>
          <w:lang w:bidi="ar"/>
        </w:rPr>
        <w:t>权；</w:t>
      </w:r>
    </w:p>
    <w:p w14:paraId="63578A3D">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（五）</w:t>
      </w:r>
      <w:r>
        <w:rPr>
          <w:rFonts w:cs="方正仿宋_GBK"/>
          <w:color w:val="auto"/>
          <w:sz w:val="32"/>
          <w:szCs w:val="32"/>
          <w:highlight w:val="none"/>
          <w:shd w:val="clear" w:color="auto" w:fill="FFFFFF"/>
          <w:lang w:bidi="ar"/>
        </w:rPr>
        <w:t>法律法规禁止的其他</w:t>
      </w:r>
      <w:r>
        <w:rPr>
          <w:rFonts w:hint="eastAsia" w:cs="方正仿宋_GBK"/>
          <w:color w:val="auto"/>
          <w:sz w:val="32"/>
          <w:szCs w:val="32"/>
          <w:highlight w:val="none"/>
          <w:shd w:val="clear" w:color="auto" w:fill="FFFFFF"/>
          <w:lang w:bidi="ar"/>
        </w:rPr>
        <w:t>内容。</w:t>
      </w:r>
    </w:p>
    <w:p w14:paraId="305F2B8A">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第十六条（招标采购领域重点审查内容）  </w:t>
      </w:r>
      <w:r>
        <w:rPr>
          <w:rFonts w:hint="eastAsia" w:cs="方正仿宋_GBK"/>
          <w:color w:val="auto"/>
          <w:sz w:val="32"/>
          <w:szCs w:val="32"/>
          <w:highlight w:val="none"/>
          <w:shd w:val="clear" w:color="auto" w:fill="FFFFFF"/>
          <w:lang w:bidi="ar"/>
        </w:rPr>
        <w:t>起草涉及招标采购的政策措施，</w:t>
      </w:r>
      <w:r>
        <w:rPr>
          <w:rFonts w:cs="方正仿宋_GBK"/>
          <w:color w:val="auto"/>
          <w:sz w:val="32"/>
          <w:szCs w:val="32"/>
          <w:highlight w:val="none"/>
          <w:shd w:val="clear" w:color="auto" w:fill="FFFFFF"/>
          <w:lang w:bidi="ar"/>
        </w:rPr>
        <w:t>应当重点审查下列内容：</w:t>
      </w:r>
    </w:p>
    <w:p w14:paraId="4E161DC1">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w:t>
      </w:r>
      <w:r>
        <w:rPr>
          <w:rFonts w:cs="方正仿宋_GBK"/>
          <w:color w:val="auto"/>
          <w:sz w:val="32"/>
          <w:szCs w:val="32"/>
          <w:highlight w:val="none"/>
          <w:shd w:val="clear" w:color="auto" w:fill="FFFFFF"/>
          <w:lang w:bidi="ar"/>
        </w:rPr>
        <w:t>根据经营者所有制形式、注册地、组织形式、规模</w:t>
      </w:r>
      <w:r>
        <w:rPr>
          <w:rFonts w:hint="eastAsia" w:cs="方正仿宋_GBK"/>
          <w:color w:val="auto"/>
          <w:sz w:val="32"/>
          <w:szCs w:val="32"/>
          <w:highlight w:val="none"/>
          <w:shd w:val="clear" w:color="auto" w:fill="FFFFFF"/>
          <w:lang w:bidi="ar"/>
        </w:rPr>
        <w:t>、</w:t>
      </w:r>
      <w:r>
        <w:rPr>
          <w:rFonts w:cs="方正仿宋_GBK"/>
          <w:color w:val="auto"/>
          <w:sz w:val="32"/>
          <w:szCs w:val="32"/>
          <w:highlight w:val="none"/>
          <w:shd w:val="clear" w:color="auto" w:fill="FFFFFF"/>
          <w:lang w:bidi="ar"/>
        </w:rPr>
        <w:t>产品产地、与本地经营者组成联合体</w:t>
      </w:r>
      <w:r>
        <w:rPr>
          <w:rFonts w:hint="eastAsia" w:cs="方正仿宋_GBK"/>
          <w:color w:val="auto"/>
          <w:sz w:val="32"/>
          <w:szCs w:val="32"/>
          <w:highlight w:val="none"/>
          <w:shd w:val="clear" w:color="auto" w:fill="FFFFFF"/>
          <w:lang w:bidi="ar"/>
        </w:rPr>
        <w:t>以及</w:t>
      </w:r>
      <w:r>
        <w:rPr>
          <w:rFonts w:cs="方正仿宋_GBK"/>
          <w:color w:val="auto"/>
          <w:sz w:val="32"/>
          <w:szCs w:val="32"/>
          <w:highlight w:val="none"/>
          <w:shd w:val="clear" w:color="auto" w:fill="FFFFFF"/>
          <w:lang w:bidi="ar"/>
        </w:rPr>
        <w:t>取得业绩</w:t>
      </w:r>
      <w:r>
        <w:rPr>
          <w:rFonts w:hint="eastAsia" w:cs="方正仿宋_GBK"/>
          <w:color w:val="auto"/>
          <w:sz w:val="32"/>
          <w:szCs w:val="32"/>
          <w:highlight w:val="none"/>
          <w:shd w:val="clear" w:color="auto" w:fill="FFFFFF"/>
          <w:lang w:bidi="ar"/>
        </w:rPr>
        <w:t>、</w:t>
      </w:r>
      <w:r>
        <w:rPr>
          <w:rFonts w:cs="方正仿宋_GBK"/>
          <w:color w:val="auto"/>
          <w:sz w:val="32"/>
          <w:szCs w:val="32"/>
          <w:highlight w:val="none"/>
          <w:shd w:val="clear" w:color="auto" w:fill="FFFFFF"/>
          <w:lang w:bidi="ar"/>
        </w:rPr>
        <w:t>缴纳税收社保</w:t>
      </w:r>
      <w:r>
        <w:rPr>
          <w:rFonts w:hint="eastAsia" w:cs="方正仿宋_GBK"/>
          <w:color w:val="auto"/>
          <w:sz w:val="32"/>
          <w:szCs w:val="32"/>
          <w:highlight w:val="none"/>
          <w:shd w:val="clear" w:color="auto" w:fill="FFFFFF"/>
          <w:lang w:bidi="ar"/>
        </w:rPr>
        <w:t>的</w:t>
      </w:r>
      <w:r>
        <w:rPr>
          <w:rFonts w:cs="方正仿宋_GBK"/>
          <w:color w:val="auto"/>
          <w:sz w:val="32"/>
          <w:szCs w:val="32"/>
          <w:highlight w:val="none"/>
          <w:shd w:val="clear" w:color="auto" w:fill="FFFFFF"/>
          <w:lang w:bidi="ar"/>
        </w:rPr>
        <w:t>区域等</w:t>
      </w:r>
      <w:r>
        <w:rPr>
          <w:rFonts w:hint="eastAsia" w:cs="方正仿宋_GBK"/>
          <w:color w:val="auto"/>
          <w:sz w:val="32"/>
          <w:szCs w:val="32"/>
          <w:highlight w:val="none"/>
          <w:shd w:val="clear" w:color="auto" w:fill="FFFFFF"/>
          <w:lang w:bidi="ar"/>
        </w:rPr>
        <w:t>，</w:t>
      </w:r>
      <w:r>
        <w:rPr>
          <w:rFonts w:cs="方正仿宋_GBK"/>
          <w:color w:val="auto"/>
          <w:sz w:val="32"/>
          <w:szCs w:val="32"/>
          <w:highlight w:val="none"/>
          <w:shd w:val="clear" w:color="auto" w:fill="FFFFFF"/>
          <w:lang w:bidi="ar"/>
        </w:rPr>
        <w:t>设置歧视性的</w:t>
      </w:r>
      <w:r>
        <w:rPr>
          <w:rFonts w:hint="eastAsia" w:cs="方正仿宋_GBK"/>
          <w:color w:val="auto"/>
          <w:sz w:val="32"/>
          <w:szCs w:val="32"/>
          <w:highlight w:val="none"/>
          <w:shd w:val="clear" w:color="auto" w:fill="FFFFFF"/>
          <w:lang w:bidi="ar"/>
        </w:rPr>
        <w:t>资格条件</w:t>
      </w:r>
      <w:r>
        <w:rPr>
          <w:rFonts w:cs="方正仿宋_GBK"/>
          <w:color w:val="auto"/>
          <w:sz w:val="32"/>
          <w:szCs w:val="32"/>
          <w:highlight w:val="none"/>
          <w:shd w:val="clear" w:color="auto" w:fill="FFFFFF"/>
          <w:lang w:bidi="ar"/>
        </w:rPr>
        <w:t>、评标条款</w:t>
      </w:r>
      <w:r>
        <w:rPr>
          <w:rFonts w:hint="eastAsia" w:cs="方正仿宋_GBK"/>
          <w:color w:val="auto"/>
          <w:sz w:val="32"/>
          <w:szCs w:val="32"/>
          <w:highlight w:val="none"/>
          <w:shd w:val="clear" w:color="auto" w:fill="FFFFFF"/>
          <w:lang w:bidi="ar"/>
        </w:rPr>
        <w:t>或者</w:t>
      </w:r>
      <w:r>
        <w:rPr>
          <w:rFonts w:cs="方正仿宋_GBK"/>
          <w:color w:val="auto"/>
          <w:sz w:val="32"/>
          <w:szCs w:val="32"/>
          <w:highlight w:val="none"/>
          <w:shd w:val="clear" w:color="auto" w:fill="FFFFFF"/>
          <w:lang w:bidi="ar"/>
        </w:rPr>
        <w:t>中标（成交、入围）条件</w:t>
      </w:r>
      <w:r>
        <w:rPr>
          <w:rFonts w:hint="eastAsia" w:cs="方正仿宋_GBK"/>
          <w:color w:val="auto"/>
          <w:sz w:val="32"/>
          <w:szCs w:val="32"/>
          <w:highlight w:val="none"/>
          <w:shd w:val="clear" w:color="auto" w:fill="FFFFFF"/>
          <w:lang w:bidi="ar"/>
        </w:rPr>
        <w:t>；</w:t>
      </w:r>
    </w:p>
    <w:p w14:paraId="41806009">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w:t>
      </w:r>
      <w:r>
        <w:rPr>
          <w:rFonts w:cs="方正仿宋_GBK"/>
          <w:color w:val="auto"/>
          <w:sz w:val="32"/>
          <w:szCs w:val="32"/>
          <w:highlight w:val="none"/>
          <w:shd w:val="clear" w:color="auto" w:fill="FFFFFF"/>
          <w:lang w:bidi="ar"/>
        </w:rPr>
        <w:t>根据商品、要素产地等因素设置差异化信用得分</w:t>
      </w:r>
      <w:r>
        <w:rPr>
          <w:rFonts w:hint="eastAsia" w:cs="方正仿宋_GBK"/>
          <w:color w:val="auto"/>
          <w:sz w:val="32"/>
          <w:szCs w:val="32"/>
          <w:highlight w:val="none"/>
          <w:shd w:val="clear" w:color="auto" w:fill="FFFFFF"/>
          <w:lang w:bidi="ar"/>
        </w:rPr>
        <w:t>；</w:t>
      </w:r>
    </w:p>
    <w:p w14:paraId="74F11AD3">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w:t>
      </w:r>
      <w:r>
        <w:rPr>
          <w:rFonts w:cs="方正仿宋_GBK"/>
          <w:color w:val="auto"/>
          <w:sz w:val="32"/>
          <w:szCs w:val="32"/>
          <w:highlight w:val="none"/>
          <w:shd w:val="clear" w:color="auto" w:fill="FFFFFF"/>
          <w:lang w:bidi="ar"/>
        </w:rPr>
        <w:t>设置不合理的公示时间</w:t>
      </w:r>
      <w:r>
        <w:rPr>
          <w:rFonts w:hint="eastAsia" w:cs="方正仿宋_GBK"/>
          <w:color w:val="auto"/>
          <w:sz w:val="32"/>
          <w:szCs w:val="32"/>
          <w:highlight w:val="none"/>
          <w:shd w:val="clear" w:color="auto" w:fill="FFFFFF"/>
          <w:lang w:bidi="ar"/>
        </w:rPr>
        <w:t>或者响</w:t>
      </w:r>
      <w:r>
        <w:rPr>
          <w:rFonts w:cs="方正仿宋_GBK"/>
          <w:color w:val="auto"/>
          <w:sz w:val="32"/>
          <w:szCs w:val="32"/>
          <w:highlight w:val="none"/>
          <w:shd w:val="clear" w:color="auto" w:fill="FFFFFF"/>
          <w:lang w:bidi="ar"/>
        </w:rPr>
        <w:t>应时间、要求现场报名或者现场购买</w:t>
      </w:r>
      <w:r>
        <w:rPr>
          <w:rFonts w:hint="eastAsia" w:cs="方正仿宋_GBK"/>
          <w:color w:val="auto"/>
          <w:sz w:val="32"/>
          <w:szCs w:val="32"/>
          <w:highlight w:val="none"/>
          <w:shd w:val="clear" w:color="auto" w:fill="FFFFFF"/>
          <w:lang w:bidi="ar"/>
        </w:rPr>
        <w:t>招标</w:t>
      </w:r>
      <w:r>
        <w:rPr>
          <w:rFonts w:cs="方正仿宋_GBK"/>
          <w:color w:val="auto"/>
          <w:sz w:val="32"/>
          <w:szCs w:val="32"/>
          <w:highlight w:val="none"/>
          <w:shd w:val="clear" w:color="auto" w:fill="FFFFFF"/>
          <w:lang w:bidi="ar"/>
        </w:rPr>
        <w:t>采购文件</w:t>
      </w:r>
      <w:r>
        <w:rPr>
          <w:rFonts w:hint="eastAsia" w:cs="方正仿宋_GBK"/>
          <w:color w:val="auto"/>
          <w:sz w:val="32"/>
          <w:szCs w:val="32"/>
          <w:highlight w:val="none"/>
          <w:shd w:val="clear" w:color="auto" w:fill="FFFFFF"/>
          <w:lang w:bidi="ar"/>
        </w:rPr>
        <w:t>；</w:t>
      </w:r>
    </w:p>
    <w:p w14:paraId="609EFD86">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（四）法律法规禁止的其他内容。</w:t>
      </w:r>
    </w:p>
    <w:p w14:paraId="4E70D4AC">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第十七条（会同审查）  </w:t>
      </w:r>
      <w:r>
        <w:rPr>
          <w:rFonts w:hint="eastAsia" w:cs="方正仿宋_GBK"/>
          <w:color w:val="auto"/>
          <w:sz w:val="32"/>
          <w:szCs w:val="32"/>
          <w:highlight w:val="none"/>
          <w:shd w:val="clear" w:color="auto" w:fill="FFFFFF"/>
          <w:lang w:bidi="ar"/>
        </w:rPr>
        <w:t>政策措施属于下列情形之一的，起草单位应当在作出初审意见后，提请本级市场监督管理部门进行会同审查：</w:t>
      </w:r>
    </w:p>
    <w:p w14:paraId="599B9FE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（一）拟由市、区县（自治县）人民政府及其办公厅（室）名义出台的；</w:t>
      </w:r>
    </w:p>
    <w:p w14:paraId="42523D74">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（二）拟提请本级人民代表大会及其常务委员会审议的；</w:t>
      </w:r>
    </w:p>
    <w:p w14:paraId="680C717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（三）拟适用本条例第十一条第一款规定的；</w:t>
      </w:r>
    </w:p>
    <w:p w14:paraId="406ACD42">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（四）属于人民政府重大行政决策事项的。</w:t>
      </w:r>
    </w:p>
    <w:p w14:paraId="5C5138B0">
      <w:pPr>
        <w:shd w:val="clear" w:color="auto" w:fill="FFFFFF"/>
        <w:ind w:firstLine="640"/>
        <w:rPr>
          <w:rFonts w:cs="Times New Roman"/>
          <w:color w:val="auto"/>
          <w:sz w:val="32"/>
          <w:szCs w:val="32"/>
          <w:highlight w:val="none"/>
        </w:rPr>
      </w:pPr>
      <w:r>
        <w:rPr>
          <w:rFonts w:hint="eastAsia" w:cs="Times New Roman"/>
          <w:color w:val="auto"/>
          <w:sz w:val="32"/>
          <w:szCs w:val="32"/>
          <w:highlight w:val="none"/>
        </w:rPr>
        <w:t>起草</w:t>
      </w:r>
      <w:r>
        <w:rPr>
          <w:rFonts w:cs="Times New Roman"/>
          <w:color w:val="auto"/>
          <w:sz w:val="32"/>
          <w:szCs w:val="32"/>
          <w:highlight w:val="none"/>
        </w:rPr>
        <w:t>单位应当在提请</w:t>
      </w:r>
      <w:r>
        <w:rPr>
          <w:rFonts w:hint="eastAsia" w:cs="Times New Roman"/>
          <w:color w:val="auto"/>
          <w:sz w:val="32"/>
          <w:szCs w:val="32"/>
          <w:highlight w:val="none"/>
        </w:rPr>
        <w:t>会同审查时</w:t>
      </w:r>
      <w:r>
        <w:rPr>
          <w:rFonts w:cs="Times New Roman"/>
          <w:color w:val="auto"/>
          <w:sz w:val="32"/>
          <w:szCs w:val="32"/>
          <w:highlight w:val="none"/>
        </w:rPr>
        <w:t>，提供</w:t>
      </w:r>
      <w:r>
        <w:rPr>
          <w:rFonts w:hint="eastAsia" w:cs="Times New Roman"/>
          <w:color w:val="auto"/>
          <w:sz w:val="32"/>
          <w:szCs w:val="32"/>
          <w:highlight w:val="none"/>
        </w:rPr>
        <w:t>政策措施草案、起草说明、公平竞争审查初审意见等</w:t>
      </w:r>
      <w:r>
        <w:rPr>
          <w:rFonts w:cs="Times New Roman"/>
          <w:color w:val="auto"/>
          <w:sz w:val="32"/>
          <w:szCs w:val="32"/>
          <w:highlight w:val="none"/>
        </w:rPr>
        <w:t>材料</w:t>
      </w:r>
      <w:r>
        <w:rPr>
          <w:rFonts w:hint="eastAsia" w:cs="Times New Roman"/>
          <w:color w:val="auto"/>
          <w:sz w:val="32"/>
          <w:szCs w:val="32"/>
          <w:highlight w:val="none"/>
        </w:rPr>
        <w:t>。</w:t>
      </w:r>
      <w:r>
        <w:rPr>
          <w:rFonts w:cs="Times New Roman"/>
          <w:color w:val="auto"/>
          <w:sz w:val="32"/>
          <w:szCs w:val="32"/>
          <w:highlight w:val="none"/>
        </w:rPr>
        <w:t>起草单位提供的材料不完备或者政策措施未征求有关方面意见的，市场监督管理部门可以要求</w:t>
      </w:r>
      <w:r>
        <w:rPr>
          <w:rFonts w:hint="eastAsia" w:cs="Times New Roman"/>
          <w:color w:val="auto"/>
          <w:sz w:val="32"/>
          <w:szCs w:val="32"/>
          <w:highlight w:val="none"/>
        </w:rPr>
        <w:t>其</w:t>
      </w:r>
      <w:r>
        <w:rPr>
          <w:rFonts w:cs="Times New Roman"/>
          <w:color w:val="auto"/>
          <w:sz w:val="32"/>
          <w:szCs w:val="32"/>
          <w:highlight w:val="none"/>
        </w:rPr>
        <w:t>在</w:t>
      </w:r>
      <w:r>
        <w:rPr>
          <w:rFonts w:hint="eastAsia" w:cs="Times New Roman"/>
          <w:color w:val="auto"/>
          <w:sz w:val="32"/>
          <w:szCs w:val="32"/>
          <w:highlight w:val="none"/>
        </w:rPr>
        <w:t>三个工作日</w:t>
      </w:r>
      <w:r>
        <w:rPr>
          <w:rFonts w:cs="Times New Roman"/>
          <w:color w:val="auto"/>
          <w:sz w:val="32"/>
          <w:szCs w:val="32"/>
          <w:highlight w:val="none"/>
        </w:rPr>
        <w:t>内补正；未及时补正的，予以退回处理。</w:t>
      </w:r>
    </w:p>
    <w:p w14:paraId="32F89E5E">
      <w:pPr>
        <w:shd w:val="clear" w:color="auto" w:fill="FFFFFF"/>
        <w:ind w:firstLine="640"/>
        <w:rPr>
          <w:rFonts w:cs="Times New Roman"/>
          <w:color w:val="auto"/>
          <w:sz w:val="32"/>
          <w:szCs w:val="32"/>
          <w:highlight w:val="none"/>
        </w:rPr>
      </w:pPr>
      <w:r>
        <w:rPr>
          <w:rFonts w:hint="eastAsia" w:cs="Times New Roman"/>
          <w:color w:val="auto"/>
          <w:sz w:val="32"/>
          <w:szCs w:val="32"/>
          <w:highlight w:val="none"/>
        </w:rPr>
        <w:t>市场监督管理部门应当在收到前款规定的材料之日起五个工作日内根据公平竞争审查标准作出书面审查结论；情形较为复杂、存在较大争议的，应当在十个工作日内作出书面审查结论。</w:t>
      </w:r>
    </w:p>
    <w:p w14:paraId="06E03B3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市场监督管理部门作出不符合公平竞争审查标准的结论后，起草单位应当按照有关审查意见对政策措施进行修改，并重新提请会同审查。</w:t>
      </w:r>
    </w:p>
    <w:p w14:paraId="634D6AC0">
      <w:pPr>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第十八条（禁止代替）  </w:t>
      </w:r>
      <w:r>
        <w:rPr>
          <w:rFonts w:hint="eastAsia" w:cs="方正仿宋_GBK"/>
          <w:color w:val="auto"/>
          <w:sz w:val="32"/>
          <w:szCs w:val="32"/>
          <w:highlight w:val="none"/>
          <w:shd w:val="clear" w:color="auto" w:fill="FFFFFF"/>
          <w:lang w:bidi="ar"/>
        </w:rPr>
        <w:t>起草单位不得以送市场监督管理部门会签、征求意见等代替自我审查程序或者会同审查程序。</w:t>
      </w:r>
    </w:p>
    <w:p w14:paraId="2C052E8E">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第十九条（举报机制）  </w:t>
      </w:r>
      <w:r>
        <w:rPr>
          <w:rFonts w:hint="eastAsia" w:cs="方正仿宋_GBK"/>
          <w:color w:val="auto"/>
          <w:sz w:val="32"/>
          <w:szCs w:val="32"/>
          <w:highlight w:val="none"/>
          <w:shd w:val="clear" w:color="auto" w:fill="FFFFFF"/>
          <w:lang w:bidi="ar"/>
        </w:rPr>
        <w:t>对违反本条例规定的政策措施，任何单位和个人可以向市场监督管理部门举报。市场监督管理部门应当向社会公开受理举报的电话、信箱或者电子邮件地址。</w:t>
      </w:r>
    </w:p>
    <w:p w14:paraId="5DD7B92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各级市场监督管理部门负责处理对本级人民政府有关单位以及下一级人民政府政策措施的举报。上级市场监督管理部门认为有必要的，可以直接处理属于下级市场监督管理部门职责范围的举报。</w:t>
      </w:r>
    </w:p>
    <w:p w14:paraId="37E6F685">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市场监督管理部门收到反映</w:t>
      </w:r>
      <w:r>
        <w:rPr>
          <w:rFonts w:hint="eastAsia" w:cs="方正仿宋_GBK"/>
          <w:color w:val="auto"/>
          <w:sz w:val="32"/>
          <w:szCs w:val="32"/>
          <w:highlight w:val="none"/>
          <w:shd w:val="clear" w:color="auto" w:fill="FFFFFF"/>
          <w:lang w:bidi="ar"/>
        </w:rPr>
        <w:t>法律、</w:t>
      </w:r>
      <w:r>
        <w:rPr>
          <w:rFonts w:hint="eastAsia" w:cs="方正仿宋_GBK"/>
          <w:color w:val="auto"/>
          <w:sz w:val="32"/>
          <w:szCs w:val="32"/>
          <w:highlight w:val="none"/>
          <w:shd w:val="clear" w:color="auto" w:fill="FFFFFF"/>
          <w:lang w:bidi="ar"/>
        </w:rPr>
        <w:t>行政法规、地方性法规</w:t>
      </w:r>
      <w:r>
        <w:rPr>
          <w:rFonts w:hint="eastAsia" w:cs="方正仿宋_GBK"/>
          <w:color w:val="auto"/>
          <w:sz w:val="32"/>
          <w:szCs w:val="32"/>
          <w:highlight w:val="none"/>
          <w:shd w:val="clear" w:color="auto" w:fill="FFFFFF"/>
          <w:lang w:bidi="ar"/>
        </w:rPr>
        <w:t>以及本级人民政府出台的政策措施</w:t>
      </w:r>
      <w:r>
        <w:rPr>
          <w:rFonts w:hint="eastAsia" w:cs="方正仿宋_GBK"/>
          <w:color w:val="auto"/>
          <w:sz w:val="32"/>
          <w:szCs w:val="32"/>
          <w:highlight w:val="none"/>
          <w:shd w:val="clear" w:color="auto" w:fill="FFFFFF"/>
          <w:lang w:bidi="ar"/>
        </w:rPr>
        <w:t>涉嫌影响市场公平竞争的，应当依法依规移交有关单位处理。收到反映尚未出台的政策措施涉嫌违反本条例规定的，可以转送起草单位处理。</w:t>
      </w:r>
    </w:p>
    <w:p w14:paraId="328C0EA1">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第二十条（抽查机制）  </w:t>
      </w:r>
      <w:r>
        <w:rPr>
          <w:rFonts w:hint="eastAsia" w:cs="方正仿宋_GBK"/>
          <w:color w:val="auto"/>
          <w:sz w:val="32"/>
          <w:szCs w:val="32"/>
          <w:highlight w:val="none"/>
          <w:shd w:val="clear" w:color="auto" w:fill="FFFFFF"/>
          <w:lang w:bidi="ar"/>
        </w:rPr>
        <w:t>市场监督管理部门建立健全公平竞争审查抽查机制。</w:t>
      </w:r>
    </w:p>
    <w:p w14:paraId="421A06D0">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市场监督管理部门可以依托大数据、人工智能等手段，对有关政策措施开展抽查。</w:t>
      </w:r>
    </w:p>
    <w:p w14:paraId="7B84289C">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抽查可以在一定区域范围内进行，或者针对具体行业、领域实施。对发现或者举报反映违反本条例规定问题集中的地区或者行业、领域，市场监督管理部门应当开展重点抽查。</w:t>
      </w:r>
    </w:p>
    <w:p w14:paraId="1816DAB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市场监督管理部门应当向本级人民政府及上一级市场监督管理部门报告抽查情况，并可以向社会公开抽查结果。</w:t>
      </w:r>
    </w:p>
    <w:p w14:paraId="3FD163A4">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第二十一条（清理机制）  </w:t>
      </w:r>
      <w:r>
        <w:rPr>
          <w:rFonts w:hint="eastAsia" w:cs="方正仿宋_GBK"/>
          <w:color w:val="auto"/>
          <w:sz w:val="32"/>
          <w:szCs w:val="32"/>
          <w:highlight w:val="none"/>
          <w:shd w:val="clear" w:color="auto" w:fill="FFFFFF"/>
          <w:lang w:bidi="ar"/>
        </w:rPr>
        <w:t>起草单位应当建立健全政策措施动态清理机制，发现政策措施违反本条例的，应当及时修改或者废止。</w:t>
      </w:r>
    </w:p>
    <w:p w14:paraId="5EE8572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市场监督管理部门应当适时组织开展政策措施清理工作，发现政策措施违反本条例的，应当督促起草单位及时修改或者废止。</w:t>
      </w:r>
    </w:p>
    <w:p w14:paraId="30942D3D">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第二十二条（提醒敦促制度）  </w:t>
      </w:r>
      <w:r>
        <w:rPr>
          <w:rFonts w:hint="eastAsia" w:cs="方正仿宋_GBK"/>
          <w:color w:val="auto"/>
          <w:sz w:val="32"/>
          <w:szCs w:val="32"/>
          <w:highlight w:val="none"/>
          <w:shd w:val="clear" w:color="auto" w:fill="FFFFFF"/>
          <w:lang w:bidi="ar"/>
        </w:rPr>
        <w:t>市场监督管理部门在公平竞争审查工作中发现下列情形之一的，可以书面提醒敦促有关单位或者部门做好相关问题的预防和整改工作：</w:t>
      </w:r>
    </w:p>
    <w:p w14:paraId="3F9855CD">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（一）起草单位落实公平竞争审查制度不到位的；</w:t>
      </w:r>
    </w:p>
    <w:p w14:paraId="52206EB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（二）有关单位不积极配合市场监督管理部门依法开展的公平竞争审查相关工作的；</w:t>
      </w:r>
    </w:p>
    <w:p w14:paraId="41453DA0">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（三）下级市场监督管理部门履行公平竞争审查职责不到位或者工作推进缓慢的；</w:t>
      </w:r>
    </w:p>
    <w:p w14:paraId="4CA6DFCB">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（四）其他需要提醒敦促的情形。</w:t>
      </w:r>
    </w:p>
    <w:p w14:paraId="38E45181">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第二十三条（约谈制度）  </w:t>
      </w:r>
      <w:r>
        <w:rPr>
          <w:rFonts w:hint="eastAsia" w:cs="方正仿宋_GBK"/>
          <w:color w:val="auto"/>
          <w:sz w:val="32"/>
          <w:szCs w:val="32"/>
          <w:highlight w:val="none"/>
          <w:shd w:val="clear" w:color="auto" w:fill="FFFFFF"/>
          <w:lang w:bidi="ar"/>
        </w:rPr>
        <w:t>存在下列情形之一的，</w:t>
      </w:r>
      <w:r>
        <w:rPr>
          <w:rFonts w:hint="eastAsia" w:ascii="方正仿宋_GBK" w:hAnsi="方正仿宋_GBK" w:cs="方正仿宋_GBK"/>
          <w:color w:val="auto"/>
          <w:sz w:val="32"/>
          <w:szCs w:val="32"/>
          <w:highlight w:val="none"/>
        </w:rPr>
        <w:t>公平竞争审查协调机制办公室或者上一级市场监督管理部门</w:t>
      </w:r>
      <w:r>
        <w:rPr>
          <w:rFonts w:hint="eastAsia" w:cs="方正仿宋_GBK"/>
          <w:color w:val="auto"/>
          <w:sz w:val="32"/>
          <w:szCs w:val="32"/>
          <w:highlight w:val="none"/>
          <w:shd w:val="clear" w:color="auto" w:fill="FFFFFF"/>
          <w:lang w:bidi="ar"/>
        </w:rPr>
        <w:t>可以对有关单位负责人进行约谈：</w:t>
      </w:r>
    </w:p>
    <w:p w14:paraId="2A1784C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（一）对提醒敦促事项逾期未整改或者整改不到位的；</w:t>
      </w:r>
    </w:p>
    <w:p w14:paraId="634D81A2">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（二）起草单位落实公平竞争审查制度不到位，引发舆情或者造成不良影响的；</w:t>
      </w:r>
    </w:p>
    <w:p w14:paraId="2F731EA9">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（三）下级市场监督管理部门履行公平竞争审查职责不到位或者工作推进缓慢，引发舆情或者造成不良影响的；</w:t>
      </w:r>
    </w:p>
    <w:p w14:paraId="6E6C0811">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（四）其他需要约谈的情形。</w:t>
      </w:r>
    </w:p>
    <w:p w14:paraId="417E69BD">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可以将约谈情况通报起草单位的有关上级机关，也可以邀请有关上级机关共同实施约谈。被约谈单位应当自约谈之日起十五个工作日内，将整改措施以书面形式报实施约谈的公平竞争审查协调机制办公室或市场监督管理部门。</w:t>
      </w:r>
    </w:p>
    <w:p w14:paraId="29AB515A">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第二十四条（</w:t>
      </w:r>
      <w:r>
        <w:rPr>
          <w:rFonts w:hint="eastAsia" w:eastAsia="方正黑体_GBK" w:cs="方正黑体_GBK"/>
          <w:color w:val="auto"/>
          <w:sz w:val="32"/>
          <w:szCs w:val="32"/>
          <w:highlight w:val="none"/>
          <w:shd w:val="clear" w:color="auto" w:fill="FFFFFF"/>
          <w:lang w:eastAsia="zh-CN" w:bidi="ar"/>
        </w:rPr>
        <w:t>督促</w:t>
      </w:r>
      <w:r>
        <w:rPr>
          <w:rFonts w:hint="eastAsia" w:eastAsia="方正黑体_GBK" w:cs="方正黑体_GBK"/>
          <w:color w:val="auto"/>
          <w:sz w:val="32"/>
          <w:szCs w:val="32"/>
          <w:highlight w:val="none"/>
          <w:shd w:val="clear" w:color="auto" w:fill="FFFFFF"/>
          <w:lang w:bidi="ar"/>
        </w:rPr>
        <w:t xml:space="preserve">整改制度）  </w:t>
      </w:r>
      <w:r>
        <w:rPr>
          <w:rFonts w:hint="eastAsia" w:cs="方正仿宋_GBK"/>
          <w:color w:val="auto"/>
          <w:sz w:val="32"/>
          <w:szCs w:val="32"/>
          <w:highlight w:val="none"/>
          <w:shd w:val="clear" w:color="auto" w:fill="FFFFFF"/>
          <w:lang w:bidi="ar"/>
        </w:rPr>
        <w:t>市场监督管理部门</w:t>
      </w:r>
      <w:r>
        <w:rPr>
          <w:rFonts w:hint="eastAsia" w:ascii="仿宋_GB2312" w:hAnsi="仿宋_GB2312" w:eastAsia="仿宋_GB2312" w:cs="仿宋_GB2312"/>
          <w:color w:val="auto"/>
          <w:sz w:val="32"/>
          <w:szCs w:val="32"/>
          <w:highlight w:val="none"/>
        </w:rPr>
        <w:t>认定有关</w:t>
      </w:r>
      <w:r>
        <w:rPr>
          <w:rFonts w:hint="eastAsia" w:cs="方正仿宋_GBK"/>
          <w:color w:val="auto"/>
          <w:sz w:val="32"/>
          <w:szCs w:val="32"/>
          <w:highlight w:val="none"/>
          <w:shd w:val="clear" w:color="auto" w:fill="FFFFFF"/>
          <w:lang w:bidi="ar"/>
        </w:rPr>
        <w:t>政策措施违反本条例规定的，应当</w:t>
      </w:r>
      <w:r>
        <w:rPr>
          <w:rFonts w:hint="eastAsia" w:cs="方正仿宋_GBK"/>
          <w:color w:val="auto"/>
          <w:sz w:val="32"/>
          <w:szCs w:val="32"/>
          <w:highlight w:val="none"/>
          <w:shd w:val="clear" w:color="auto" w:fill="FFFFFF"/>
          <w:lang w:eastAsia="zh-CN" w:bidi="ar"/>
        </w:rPr>
        <w:t>书面</w:t>
      </w:r>
      <w:r>
        <w:rPr>
          <w:rFonts w:hint="eastAsia" w:cs="方正仿宋_GBK"/>
          <w:color w:val="auto"/>
          <w:sz w:val="32"/>
          <w:szCs w:val="32"/>
          <w:highlight w:val="none"/>
          <w:shd w:val="clear" w:color="auto" w:fill="FFFFFF"/>
          <w:lang w:bidi="ar"/>
        </w:rPr>
        <w:t>督促有关起草单位</w:t>
      </w:r>
      <w:r>
        <w:rPr>
          <w:rFonts w:hint="eastAsia" w:cs="方正仿宋_GBK"/>
          <w:color w:val="auto"/>
          <w:sz w:val="32"/>
          <w:szCs w:val="32"/>
          <w:highlight w:val="none"/>
          <w:shd w:val="clear" w:color="auto" w:fill="FFFFFF"/>
          <w:lang w:eastAsia="zh-CN" w:bidi="ar"/>
        </w:rPr>
        <w:t>整改，明确整改要求和期限。</w:t>
      </w:r>
    </w:p>
    <w:p w14:paraId="2C5CAD6F">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第二十五条（反垄断执法衔接）  </w:t>
      </w:r>
      <w:r>
        <w:rPr>
          <w:rFonts w:cs="方正仿宋_GBK"/>
          <w:color w:val="auto"/>
          <w:sz w:val="32"/>
          <w:szCs w:val="32"/>
          <w:highlight w:val="none"/>
          <w:shd w:val="clear" w:color="auto" w:fill="FFFFFF"/>
          <w:lang w:bidi="ar"/>
        </w:rPr>
        <w:t>市场监督管理部门在公平竞争审查工作中发现起草单位存在涉嫌滥用行政权力排除、限制竞争行为的，应当按照《中华人民共和国反垄断法》等有关规定，移交有管辖权的反垄断执法机构依法调查处理。</w:t>
      </w:r>
    </w:p>
    <w:p w14:paraId="7A763697">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第二十六条（行纪、行检衔接）  </w:t>
      </w:r>
      <w:r>
        <w:rPr>
          <w:rFonts w:hint="eastAsia" w:cs="方正仿宋_GBK"/>
          <w:color w:val="auto"/>
          <w:sz w:val="32"/>
          <w:szCs w:val="32"/>
          <w:highlight w:val="none"/>
          <w:shd w:val="clear" w:color="auto" w:fill="FFFFFF"/>
          <w:lang w:bidi="ar"/>
        </w:rPr>
        <w:t>市场监督管理部门在履行公平竞争审查职责时，发现有关单位及其工作人员涉嫌违纪违法的，应当将问题线索移送纪检监察机关处理。</w:t>
      </w:r>
    </w:p>
    <w:p w14:paraId="241932B2">
      <w:pPr>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市场监督管理部门在履行公平竞争审查职责时，发现有关单位违反公平竞争审查制度，损害社会公共利益的，应当将问题线索移送检察机关处理。</w:t>
      </w:r>
    </w:p>
    <w:p w14:paraId="1509A270">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第二十七条（人大、审计监督）  </w:t>
      </w:r>
      <w:r>
        <w:rPr>
          <w:rFonts w:hint="eastAsia" w:cs="方正仿宋_GBK"/>
          <w:color w:val="auto"/>
          <w:sz w:val="32"/>
          <w:szCs w:val="32"/>
          <w:highlight w:val="none"/>
          <w:shd w:val="clear" w:color="auto" w:fill="FFFFFF"/>
          <w:lang w:bidi="ar"/>
        </w:rPr>
        <w:t>市、区县（自治县）人民代表大会常务委员会依法对本行政区域内公平竞争审查工作实施监督，通过听取和审议专项工作报告、开展执法检查等方式，督促本级人民政府以及有关部门落实公平竞争审查制度。</w:t>
      </w:r>
    </w:p>
    <w:p w14:paraId="2DA9515F">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审计机关在对起草单位预算执行情况和决算以及其他财政收支情况开展审计工作时，发现存在违反本条例规定的，应当将问题线索移</w:t>
      </w:r>
      <w:r>
        <w:rPr>
          <w:rFonts w:hint="eastAsia" w:cs="方正仿宋_GBK"/>
          <w:color w:val="auto"/>
          <w:sz w:val="32"/>
          <w:szCs w:val="32"/>
          <w:highlight w:val="none"/>
          <w:shd w:val="clear" w:color="auto" w:fill="FFFFFF"/>
          <w:lang w:eastAsia="zh-CN" w:bidi="ar"/>
        </w:rPr>
        <w:t>送</w:t>
      </w:r>
      <w:r>
        <w:rPr>
          <w:rFonts w:hint="eastAsia" w:cs="方正仿宋_GBK"/>
          <w:color w:val="auto"/>
          <w:sz w:val="32"/>
          <w:szCs w:val="32"/>
          <w:highlight w:val="none"/>
          <w:shd w:val="clear" w:color="auto" w:fill="FFFFFF"/>
          <w:lang w:bidi="ar"/>
        </w:rPr>
        <w:t>市场监督管理部门处理。</w:t>
      </w:r>
    </w:p>
    <w:p w14:paraId="53A36335">
      <w:pPr>
        <w:shd w:val="clear" w:color="auto" w:fill="FFFFFF"/>
        <w:ind w:firstLine="640"/>
        <w:rPr>
          <w:rFonts w:hint="eastAsia" w:ascii="方正仿宋_GBK" w:hAnsi="方正仿宋_GBK"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第二十八条（保障措施）</w:t>
      </w:r>
      <w:r>
        <w:rPr>
          <w:rFonts w:hint="eastAsia" w:ascii="方正仿宋_GBK" w:hAnsi="方正仿宋_GBK" w:cs="方正仿宋_GBK"/>
          <w:color w:val="auto"/>
          <w:sz w:val="32"/>
          <w:szCs w:val="32"/>
          <w:highlight w:val="none"/>
          <w:shd w:val="clear" w:color="auto" w:fill="FFFFFF"/>
          <w:lang w:bidi="ar"/>
        </w:rPr>
        <w:t xml:space="preserve"> 市、区县（自治县）人民政府将公平竞争审查工作情况纳入政府部门年度考核、法治政府建设、优化营商环境等考核评价体系。</w:t>
      </w:r>
    </w:p>
    <w:p w14:paraId="3E21BCD9">
      <w:pPr>
        <w:shd w:val="clear" w:color="auto" w:fill="FFFFFF"/>
        <w:ind w:firstLine="640"/>
        <w:rPr>
          <w:rFonts w:hint="eastAsia" w:ascii="方正仿宋_GBK" w:hAnsi="方正仿宋_GBK" w:cs="方正仿宋_GBK"/>
          <w:color w:val="auto"/>
          <w:sz w:val="32"/>
          <w:szCs w:val="32"/>
          <w:highlight w:val="none"/>
          <w:shd w:val="clear" w:color="auto" w:fill="FFFFFF"/>
          <w:lang w:bidi="ar"/>
        </w:rPr>
      </w:pPr>
      <w:r>
        <w:rPr>
          <w:rFonts w:hint="eastAsia" w:ascii="方正仿宋_GBK" w:hAnsi="方正仿宋_GBK" w:cs="方正仿宋_GBK"/>
          <w:color w:val="auto"/>
          <w:sz w:val="32"/>
          <w:szCs w:val="32"/>
          <w:highlight w:val="none"/>
          <w:shd w:val="clear" w:color="auto" w:fill="FFFFFF"/>
          <w:lang w:bidi="ar"/>
        </w:rPr>
        <w:t>对在公平竞争审查工作中做出显著成绩的单位和个人，应当按照国家和本市有关规定给予褒扬；对落实公平竞争审查工作取得突出成效的地区，按照国家和本市有关规定给予激励。</w:t>
      </w:r>
    </w:p>
    <w:p w14:paraId="2F56AD72">
      <w:pPr>
        <w:shd w:val="clear" w:color="auto" w:fill="FFFFFF"/>
        <w:ind w:firstLine="640"/>
        <w:rPr>
          <w:rFonts w:cs="方正仿宋_GBK"/>
          <w:color w:val="auto"/>
          <w:sz w:val="28"/>
          <w:szCs w:val="28"/>
          <w:highlight w:val="none"/>
        </w:rPr>
      </w:pPr>
      <w:r>
        <w:rPr>
          <w:rFonts w:hint="eastAsia" w:ascii="方正仿宋_GBK" w:hAnsi="方正仿宋_GBK" w:cs="方正仿宋_GBK"/>
          <w:color w:val="auto"/>
          <w:sz w:val="32"/>
          <w:szCs w:val="32"/>
          <w:highlight w:val="none"/>
          <w:shd w:val="clear" w:color="auto" w:fill="FFFFFF"/>
          <w:lang w:bidi="ar"/>
        </w:rPr>
        <w:t>市、区县（自治县）人民政府以及有关部门应当保障公平竞争审查工作力量，将公平竞争审查工作经费纳入预算。</w:t>
      </w:r>
      <w:r>
        <w:rPr>
          <w:rFonts w:hint="eastAsia" w:ascii="方正仿宋_GBK" w:hAnsi="方正仿宋_GBK" w:cs="方正仿宋_GBK"/>
          <w:color w:val="auto"/>
          <w:sz w:val="32"/>
          <w:szCs w:val="32"/>
          <w:highlight w:val="none"/>
          <w:shd w:val="clear" w:color="auto" w:fill="FFFFFF"/>
          <w:lang w:bidi="ar"/>
        </w:rPr>
        <w:t>党校（行政学院）</w:t>
      </w:r>
      <w:r>
        <w:rPr>
          <w:rFonts w:hint="eastAsia" w:ascii="方正仿宋_GBK" w:hAnsi="方正仿宋_GBK" w:cs="方正仿宋_GBK"/>
          <w:color w:val="auto"/>
          <w:sz w:val="32"/>
          <w:szCs w:val="32"/>
          <w:highlight w:val="none"/>
          <w:shd w:val="clear" w:color="auto" w:fill="FFFFFF"/>
          <w:lang w:bidi="ar"/>
        </w:rPr>
        <w:t>应当将公平竞争审查纳入培训内容。市场监督管理等部门可以建立公平竞争审查专家库，为公平竞争审查工作提供智力支持。</w:t>
      </w:r>
    </w:p>
    <w:p w14:paraId="2B48B55F">
      <w:pPr>
        <w:shd w:val="clear" w:color="auto" w:fill="FFFFFF"/>
        <w:ind w:firstLine="640"/>
        <w:rPr>
          <w:rFonts w:eastAsia="方正黑体_GBK" w:cs="方正黑体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第二十九条（典型案例发布）  </w:t>
      </w:r>
      <w:r>
        <w:rPr>
          <w:rFonts w:hint="eastAsia" w:ascii="方正仿宋_GBK" w:hAnsi="方正仿宋_GBK" w:cs="方正仿宋_GBK"/>
          <w:color w:val="auto"/>
          <w:sz w:val="32"/>
          <w:szCs w:val="32"/>
          <w:highlight w:val="none"/>
        </w:rPr>
        <w:t>公平竞争审查协调机制办公室应当结合工作实际，梳理分析本行政区域内</w:t>
      </w:r>
      <w:r>
        <w:rPr>
          <w:rFonts w:hint="eastAsia" w:cs="方正仿宋_GBK"/>
          <w:color w:val="auto"/>
          <w:sz w:val="32"/>
          <w:szCs w:val="32"/>
          <w:highlight w:val="none"/>
          <w:shd w:val="clear" w:color="auto" w:fill="FFFFFF"/>
          <w:lang w:bidi="ar"/>
        </w:rPr>
        <w:t>妨碍统一市场和公平竞争的典型问题、具体表现和认定标准，适时发布妨碍公平竞争的典型案例。</w:t>
      </w:r>
    </w:p>
    <w:p w14:paraId="1F62D7E1">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第三十条（起草单位责任）  </w:t>
      </w:r>
      <w:r>
        <w:rPr>
          <w:rFonts w:hint="eastAsia" w:cs="方正仿宋_GBK"/>
          <w:color w:val="auto"/>
          <w:sz w:val="32"/>
          <w:szCs w:val="32"/>
          <w:highlight w:val="none"/>
          <w:shd w:val="clear" w:color="auto" w:fill="FFFFFF"/>
          <w:lang w:bidi="ar"/>
        </w:rPr>
        <w:t>起草单位存在下列情形之一且造成严重不良影响的，市场监督管理部门应当向有权机关提出对直接负责的主管人员和其他直接责任人员依法给予处分的建议：</w:t>
      </w:r>
    </w:p>
    <w:p w14:paraId="2E00887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（一）未依法开展自我审查的；</w:t>
      </w:r>
    </w:p>
    <w:p w14:paraId="657FF9C5">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（二）未将属于会同审查范围的政策措施提请本级市场监督管理部门开展会同审查的；</w:t>
      </w:r>
    </w:p>
    <w:p w14:paraId="799DF1C6">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（三）属于会同审查范围的政策措施，市场监督管理部门提出</w:t>
      </w:r>
      <w:r>
        <w:rPr>
          <w:rFonts w:hint="eastAsia" w:cs="方正仿宋_GBK"/>
          <w:color w:val="auto"/>
          <w:sz w:val="32"/>
          <w:szCs w:val="32"/>
          <w:highlight w:val="none"/>
          <w:shd w:val="clear" w:color="auto" w:fill="FFFFFF"/>
          <w:lang w:eastAsia="zh-CN" w:bidi="ar"/>
        </w:rPr>
        <w:t>审查</w:t>
      </w:r>
      <w:r>
        <w:rPr>
          <w:rFonts w:hint="eastAsia" w:cs="方正仿宋_GBK"/>
          <w:color w:val="auto"/>
          <w:sz w:val="32"/>
          <w:szCs w:val="32"/>
          <w:highlight w:val="none"/>
          <w:shd w:val="clear" w:color="auto" w:fill="FFFFFF"/>
          <w:lang w:bidi="ar"/>
        </w:rPr>
        <w:t>意见后未</w:t>
      </w:r>
      <w:r>
        <w:rPr>
          <w:rFonts w:hint="eastAsia" w:cs="方正仿宋_GBK"/>
          <w:color w:val="auto"/>
          <w:sz w:val="32"/>
          <w:szCs w:val="32"/>
          <w:highlight w:val="none"/>
          <w:shd w:val="clear" w:color="auto" w:fill="FFFFFF"/>
          <w:lang w:eastAsia="zh-CN" w:bidi="ar"/>
        </w:rPr>
        <w:t>按要求</w:t>
      </w:r>
      <w:r>
        <w:rPr>
          <w:rFonts w:hint="eastAsia" w:cs="方正仿宋_GBK"/>
          <w:color w:val="auto"/>
          <w:sz w:val="32"/>
          <w:szCs w:val="32"/>
          <w:highlight w:val="none"/>
          <w:shd w:val="clear" w:color="auto" w:fill="FFFFFF"/>
          <w:lang w:bidi="ar"/>
        </w:rPr>
        <w:t>修改，或者修改后未重新提请本级市场监督管理部门开展公平竞争审查即出台的；</w:t>
      </w:r>
    </w:p>
    <w:p w14:paraId="3B5138C2">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（四）拒绝、阻碍市场监督管理部门依法开展公平竞争审查有关监督工作的；</w:t>
      </w:r>
    </w:p>
    <w:p w14:paraId="35FB3FD2">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（五）经市场监督管理部门约谈后仍不整改的；</w:t>
      </w:r>
    </w:p>
    <w:p w14:paraId="02CC30DC">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（六）其他违反公平竞争审查制度，</w:t>
      </w:r>
      <w:r>
        <w:rPr>
          <w:rFonts w:cs="方正仿宋_GBK"/>
          <w:color w:val="auto"/>
          <w:sz w:val="32"/>
          <w:szCs w:val="32"/>
          <w:highlight w:val="none"/>
          <w:shd w:val="clear" w:color="auto" w:fill="FFFFFF"/>
          <w:lang w:bidi="ar"/>
        </w:rPr>
        <w:t>造成严重不良影响</w:t>
      </w:r>
      <w:r>
        <w:rPr>
          <w:rFonts w:hint="eastAsia" w:cs="方正仿宋_GBK"/>
          <w:color w:val="auto"/>
          <w:sz w:val="32"/>
          <w:szCs w:val="32"/>
          <w:highlight w:val="none"/>
          <w:shd w:val="clear" w:color="auto" w:fill="FFFFFF"/>
          <w:lang w:bidi="ar"/>
        </w:rPr>
        <w:t>的。</w:t>
      </w:r>
    </w:p>
    <w:p w14:paraId="6E7B2C07">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认定前款规定的严重不良影响，应当综合考虑政策措施对公平竞争秩序的影响程度、涉及经营主体的范围、影响的持续时间等因素。</w:t>
      </w:r>
    </w:p>
    <w:p w14:paraId="06550D06">
      <w:pPr>
        <w:shd w:val="clear" w:color="auto" w:fill="FFFFFF"/>
        <w:ind w:firstLine="640"/>
        <w:rPr>
          <w:rFonts w:cs="方正仿宋_GBK"/>
          <w:color w:val="auto"/>
          <w:sz w:val="32"/>
          <w:szCs w:val="32"/>
          <w:highlight w:val="none"/>
          <w:shd w:val="clear" w:color="auto" w:fill="FFFFFF"/>
          <w:lang w:bidi="ar"/>
        </w:rPr>
      </w:pPr>
      <w:r>
        <w:rPr>
          <w:rFonts w:hint="eastAsia" w:eastAsia="方正黑体_GBK" w:cs="方正黑体_GBK"/>
          <w:color w:val="auto"/>
          <w:sz w:val="32"/>
          <w:szCs w:val="32"/>
          <w:highlight w:val="none"/>
          <w:shd w:val="clear" w:color="auto" w:fill="FFFFFF"/>
          <w:lang w:bidi="ar"/>
        </w:rPr>
        <w:t xml:space="preserve">第三十一条（市场监督管理部门责任）  </w:t>
      </w:r>
      <w:r>
        <w:rPr>
          <w:rFonts w:hint="eastAsia" w:cs="方正仿宋_GBK"/>
          <w:color w:val="auto"/>
          <w:sz w:val="32"/>
          <w:szCs w:val="32"/>
          <w:highlight w:val="none"/>
          <w:shd w:val="clear" w:color="auto" w:fill="FFFFFF"/>
          <w:lang w:bidi="ar"/>
        </w:rPr>
        <w:t>下级市场监督管理部门存在下列情形之一的，由上级市场监督管理部门或者本级人民政府责令限期改正；逾期不改正、造成严重不良影响的，上级市场监督管理部门或者本级人民政府应当向有权机关提出依法处理的建议：</w:t>
      </w:r>
    </w:p>
    <w:p w14:paraId="07E148C5">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（一）未依法会同起草单位开展公平竞争审查的；</w:t>
      </w:r>
    </w:p>
    <w:p w14:paraId="68B159C6">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（二）未及时核查或者移交举报线索的；</w:t>
      </w:r>
    </w:p>
    <w:p w14:paraId="76CDE136">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（三）未开展政策措施抽查工作或者未向本级人民政府以及上一级市场监督管理部门报告抽查情况的；</w:t>
      </w:r>
    </w:p>
    <w:p w14:paraId="5345BE1E">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（四）未根</w:t>
      </w:r>
      <w:r>
        <w:rPr>
          <w:rFonts w:hint="eastAsia" w:cs="方正仿宋_GBK"/>
          <w:color w:val="auto"/>
          <w:sz w:val="32"/>
          <w:szCs w:val="32"/>
          <w:highlight w:val="none"/>
          <w:shd w:val="clear" w:color="auto" w:fill="FFFFFF"/>
          <w:lang w:bidi="ar"/>
        </w:rPr>
        <w:t>据约谈意见</w:t>
      </w:r>
      <w:r>
        <w:rPr>
          <w:rFonts w:hint="eastAsia" w:cs="方正仿宋_GBK"/>
          <w:color w:val="auto"/>
          <w:sz w:val="32"/>
          <w:szCs w:val="32"/>
          <w:highlight w:val="none"/>
          <w:shd w:val="clear" w:color="auto" w:fill="FFFFFF"/>
          <w:lang w:bidi="ar"/>
        </w:rPr>
        <w:t>进行整改并以书面形式报上级市场监督管理部门的；</w:t>
      </w:r>
    </w:p>
    <w:p w14:paraId="359B5526">
      <w:pPr>
        <w:shd w:val="clear" w:color="auto" w:fill="FFFFFF"/>
        <w:ind w:firstLine="640"/>
        <w:rPr>
          <w:rFonts w:cs="方正仿宋_GBK"/>
          <w:color w:val="auto"/>
          <w:sz w:val="32"/>
          <w:szCs w:val="32"/>
          <w:highlight w:val="none"/>
          <w:shd w:val="clear" w:color="auto" w:fill="FFFFFF"/>
          <w:lang w:bidi="ar"/>
        </w:rPr>
      </w:pPr>
      <w:r>
        <w:rPr>
          <w:rFonts w:hint="eastAsia" w:cs="方正仿宋_GBK"/>
          <w:color w:val="auto"/>
          <w:sz w:val="32"/>
          <w:szCs w:val="32"/>
          <w:highlight w:val="none"/>
          <w:shd w:val="clear" w:color="auto" w:fill="FFFFFF"/>
          <w:lang w:bidi="ar"/>
        </w:rPr>
        <w:t>（五）其他未依法履行公平竞争审查职责的。</w:t>
      </w:r>
    </w:p>
    <w:p w14:paraId="231E5AE3">
      <w:pPr>
        <w:ind w:firstLine="640"/>
        <w:rPr>
          <w:color w:val="auto"/>
          <w:highlight w:val="none"/>
        </w:rPr>
      </w:pPr>
      <w:r>
        <w:rPr>
          <w:rFonts w:hint="eastAsia" w:eastAsia="方正黑体_GBK" w:cs="方正黑体_GBK"/>
          <w:color w:val="auto"/>
          <w:sz w:val="32"/>
          <w:szCs w:val="32"/>
          <w:highlight w:val="none"/>
          <w:shd w:val="clear" w:color="auto" w:fill="FFFFFF"/>
          <w:lang w:bidi="ar"/>
        </w:rPr>
        <w:t xml:space="preserve">第三十二条（施行时间）  </w:t>
      </w:r>
      <w:r>
        <w:rPr>
          <w:rFonts w:hint="eastAsia" w:cs="方正仿宋_GBK"/>
          <w:color w:val="auto"/>
          <w:sz w:val="32"/>
          <w:szCs w:val="32"/>
          <w:highlight w:val="none"/>
          <w:shd w:val="clear" w:color="auto" w:fill="FFFFFF"/>
          <w:lang w:bidi="ar"/>
        </w:rPr>
        <w:t>本条例自20 年 月 日起施行。</w:t>
      </w: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34B18"/>
    <w:rsid w:val="000B2A9D"/>
    <w:rsid w:val="00147F8F"/>
    <w:rsid w:val="001761B5"/>
    <w:rsid w:val="002034EF"/>
    <w:rsid w:val="002436E3"/>
    <w:rsid w:val="00257BB3"/>
    <w:rsid w:val="002A5FEE"/>
    <w:rsid w:val="0036143E"/>
    <w:rsid w:val="00364045"/>
    <w:rsid w:val="00397329"/>
    <w:rsid w:val="00425F04"/>
    <w:rsid w:val="00737BBA"/>
    <w:rsid w:val="00750F17"/>
    <w:rsid w:val="0076539A"/>
    <w:rsid w:val="00770D91"/>
    <w:rsid w:val="00807B33"/>
    <w:rsid w:val="008146F0"/>
    <w:rsid w:val="00846370"/>
    <w:rsid w:val="00877099"/>
    <w:rsid w:val="00940F71"/>
    <w:rsid w:val="009E0C92"/>
    <w:rsid w:val="009E449E"/>
    <w:rsid w:val="00A44373"/>
    <w:rsid w:val="00A95CC9"/>
    <w:rsid w:val="00AD50B4"/>
    <w:rsid w:val="00AD5146"/>
    <w:rsid w:val="00B32600"/>
    <w:rsid w:val="00B72F27"/>
    <w:rsid w:val="00C87B2B"/>
    <w:rsid w:val="00CA194D"/>
    <w:rsid w:val="00CC7956"/>
    <w:rsid w:val="00D20039"/>
    <w:rsid w:val="00D82A2A"/>
    <w:rsid w:val="00DB79BB"/>
    <w:rsid w:val="00DE4DC3"/>
    <w:rsid w:val="00EC3F44"/>
    <w:rsid w:val="00FD414C"/>
    <w:rsid w:val="00FD45B7"/>
    <w:rsid w:val="00FF2A7D"/>
    <w:rsid w:val="04034B18"/>
    <w:rsid w:val="08575FBE"/>
    <w:rsid w:val="09CC06C8"/>
    <w:rsid w:val="120D0014"/>
    <w:rsid w:val="2346270C"/>
    <w:rsid w:val="3DE1473A"/>
    <w:rsid w:val="547FA453"/>
    <w:rsid w:val="6CC168DA"/>
    <w:rsid w:val="71B51073"/>
    <w:rsid w:val="7B621211"/>
    <w:rsid w:val="7F77A274"/>
    <w:rsid w:val="BF5E9F96"/>
    <w:rsid w:val="BFFB8111"/>
    <w:rsid w:val="CFDBBBFD"/>
    <w:rsid w:val="DFD306AD"/>
    <w:rsid w:val="EB5A245C"/>
    <w:rsid w:val="FA075CF2"/>
    <w:rsid w:val="FF7F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方正仿宋_GBK"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qFormat/>
    <w:uiPriority w:val="0"/>
    <w:rPr>
      <w:sz w:val="21"/>
      <w:szCs w:val="21"/>
    </w:rPr>
  </w:style>
  <w:style w:type="paragraph" w:customStyle="1" w:styleId="7">
    <w:name w:val="修订1"/>
    <w:hidden/>
    <w:unhideWhenUsed/>
    <w:qFormat/>
    <w:uiPriority w:val="99"/>
    <w:rPr>
      <w:rFonts w:ascii="Times New Roman" w:hAnsi="Times New Roman" w:eastAsia="方正仿宋_GBK" w:cstheme="minorBidi"/>
      <w:kern w:val="2"/>
      <w:sz w:val="21"/>
      <w:szCs w:val="24"/>
      <w:lang w:val="en-US" w:eastAsia="zh-CN" w:bidi="ar-SA"/>
    </w:rPr>
  </w:style>
  <w:style w:type="character" w:customStyle="1" w:styleId="8">
    <w:name w:val="批注文字 字符"/>
    <w:basedOn w:val="5"/>
    <w:link w:val="2"/>
    <w:qFormat/>
    <w:uiPriority w:val="0"/>
    <w:rPr>
      <w:rFonts w:ascii="Times New Roman" w:hAnsi="Times New Roman" w:eastAsia="方正仿宋_GBK"/>
      <w:kern w:val="2"/>
      <w:sz w:val="21"/>
      <w:szCs w:val="24"/>
    </w:rPr>
  </w:style>
  <w:style w:type="character" w:customStyle="1" w:styleId="9">
    <w:name w:val="批注主题 字符"/>
    <w:basedOn w:val="8"/>
    <w:link w:val="3"/>
    <w:qFormat/>
    <w:uiPriority w:val="0"/>
    <w:rPr>
      <w:rFonts w:ascii="Times New Roman" w:hAnsi="Times New Roman" w:eastAsia="方正仿宋_GBK"/>
      <w:b/>
      <w:bCs/>
      <w:kern w:val="2"/>
      <w:sz w:val="21"/>
      <w:szCs w:val="24"/>
    </w:rPr>
  </w:style>
  <w:style w:type="paragraph" w:customStyle="1" w:styleId="10">
    <w:name w:val="修订2"/>
    <w:hidden/>
    <w:unhideWhenUsed/>
    <w:qFormat/>
    <w:uiPriority w:val="99"/>
    <w:rPr>
      <w:rFonts w:ascii="Times New Roman" w:hAnsi="Times New Roman" w:eastAsia="方正仿宋_GBK" w:cstheme="minorBidi"/>
      <w:kern w:val="2"/>
      <w:sz w:val="21"/>
      <w:szCs w:val="24"/>
      <w:lang w:val="en-US" w:eastAsia="zh-CN" w:bidi="ar-SA"/>
    </w:rPr>
  </w:style>
  <w:style w:type="paragraph" w:customStyle="1" w:styleId="11">
    <w:name w:val="Revision"/>
    <w:hidden/>
    <w:unhideWhenUsed/>
    <w:qFormat/>
    <w:uiPriority w:val="99"/>
    <w:rPr>
      <w:rFonts w:ascii="Times New Roman" w:hAnsi="Times New Roman" w:eastAsia="方正仿宋_GBK"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3255</Words>
  <Characters>3289</Characters>
  <Lines>219</Lines>
  <Paragraphs>163</Paragraphs>
  <TotalTime>154</TotalTime>
  <ScaleCrop>false</ScaleCrop>
  <LinksUpToDate>false</LinksUpToDate>
  <CharactersWithSpaces>6381</CharactersWithSpaces>
  <Application>WPS Office_12.8.2.24730_F1E327BC-269C-435d-A152-05C5408002CA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2026-04-18T03:34:00Z</dcterms:created>
  <dc:creator>余佳辰</dc:creator>
  <cp:lastModifiedBy>scjgj</cp:lastModifiedBy>
  <dcterms:modified xsi:type="dcterms:W3CDTF">2026-04-17T16:25:27Z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2052-12.8.2.24730</vt:lpwstr>
  </property>
  <property fmtid="{D5CDD505-2E9C-101B-9397-08002B2CF9AE}" pid="3" name="ICV">
    <vt:lpwstr>1820C8A966DA48009B297022CAD5ACFB_13</vt:lpwstr>
  </property>
  <property fmtid="{D5CDD505-2E9C-101B-9397-08002B2CF9AE}" pid="4" name="KSOTemplateDocerSaveRecord">
    <vt:lpwstr>eyJoZGlkIjoiMjNmNWQ3ZTQzZGQ3YzkzZWNjMGRlZDhhYjFlMjI1YmYiLCJ1c2VySWQiOiI4NzU1NDgwMTUifQ==</vt:lpwstr>
  </property>
</Properties>
</file>